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553127E2" w:rsidR="00A7774F" w:rsidRPr="000D3CBF" w:rsidRDefault="00A7774F" w:rsidP="00A7774F">
      <w:pPr>
        <w:pStyle w:val="Header"/>
        <w:tabs>
          <w:tab w:val="right" w:pos="9639"/>
        </w:tabs>
        <w:spacing w:line="276" w:lineRule="auto"/>
        <w:rPr>
          <w:sz w:val="24"/>
          <w:szCs w:val="24"/>
        </w:rPr>
      </w:pPr>
      <w:bookmarkStart w:id="0" w:name="_Hlk37418177"/>
      <w:r w:rsidRPr="000D3CBF">
        <w:rPr>
          <w:sz w:val="24"/>
          <w:szCs w:val="24"/>
        </w:rPr>
        <w:t>3GPP TSG RAN WG1 #1</w:t>
      </w:r>
      <w:r w:rsidR="000D3CBF">
        <w:rPr>
          <w:sz w:val="24"/>
          <w:szCs w:val="24"/>
        </w:rPr>
        <w:t>10</w:t>
      </w:r>
      <w:r w:rsidRPr="000D3CBF">
        <w:rPr>
          <w:sz w:val="24"/>
          <w:szCs w:val="24"/>
        </w:rPr>
        <w:tab/>
      </w:r>
      <w:r w:rsidR="003342CF" w:rsidRPr="000D3CBF">
        <w:rPr>
          <w:sz w:val="24"/>
          <w:szCs w:val="24"/>
        </w:rPr>
        <w:t>R1-22</w:t>
      </w:r>
      <w:r w:rsidR="002E7AAE">
        <w:rPr>
          <w:sz w:val="24"/>
          <w:szCs w:val="24"/>
        </w:rPr>
        <w:t>07102</w:t>
      </w:r>
    </w:p>
    <w:p w14:paraId="6ED51DC1" w14:textId="613991A0" w:rsidR="00A7774F" w:rsidRPr="00FF3F81" w:rsidRDefault="00A7774F" w:rsidP="00A7774F">
      <w:pPr>
        <w:pStyle w:val="Header"/>
        <w:spacing w:line="276" w:lineRule="auto"/>
        <w:rPr>
          <w:bCs/>
          <w:noProof w:val="0"/>
          <w:sz w:val="24"/>
          <w:szCs w:val="24"/>
        </w:rPr>
      </w:pPr>
      <w:r w:rsidRPr="00FF3F81">
        <w:rPr>
          <w:bCs/>
          <w:noProof w:val="0"/>
          <w:sz w:val="24"/>
          <w:szCs w:val="24"/>
        </w:rPr>
        <w:t xml:space="preserve">Meeting, </w:t>
      </w:r>
      <w:r w:rsidR="00710BF8">
        <w:rPr>
          <w:bCs/>
          <w:noProof w:val="0"/>
          <w:sz w:val="24"/>
          <w:szCs w:val="24"/>
        </w:rPr>
        <w:t>August</w:t>
      </w:r>
      <w:r w:rsidR="00C521D8" w:rsidRPr="00FF3F81">
        <w:rPr>
          <w:bCs/>
          <w:noProof w:val="0"/>
          <w:sz w:val="24"/>
          <w:szCs w:val="24"/>
        </w:rPr>
        <w:t xml:space="preserve"> </w:t>
      </w:r>
      <w:r w:rsidR="00710BF8">
        <w:rPr>
          <w:bCs/>
          <w:noProof w:val="0"/>
          <w:sz w:val="24"/>
          <w:szCs w:val="24"/>
        </w:rPr>
        <w:t>22</w:t>
      </w:r>
      <w:r w:rsidRPr="00FF3F81">
        <w:rPr>
          <w:bCs/>
          <w:noProof w:val="0"/>
          <w:sz w:val="24"/>
          <w:szCs w:val="24"/>
        </w:rPr>
        <w:t xml:space="preserve"> – </w:t>
      </w:r>
      <w:r w:rsidR="00E177E9">
        <w:rPr>
          <w:bCs/>
          <w:noProof w:val="0"/>
          <w:sz w:val="24"/>
          <w:szCs w:val="24"/>
        </w:rPr>
        <w:t>2</w:t>
      </w:r>
      <w:r w:rsidR="00710BF8">
        <w:rPr>
          <w:bCs/>
          <w:noProof w:val="0"/>
          <w:sz w:val="24"/>
          <w:szCs w:val="24"/>
        </w:rPr>
        <w:t>6</w:t>
      </w:r>
      <w:r w:rsidRPr="00FF3F81">
        <w:rPr>
          <w:bCs/>
          <w:noProof w:val="0"/>
          <w:sz w:val="24"/>
          <w:szCs w:val="24"/>
        </w:rPr>
        <w:t>, 202</w:t>
      </w:r>
      <w:bookmarkEnd w:id="0"/>
      <w:r w:rsidR="00554EF3" w:rsidRPr="00FF3F81">
        <w:rPr>
          <w:bCs/>
          <w:noProof w:val="0"/>
          <w:sz w:val="24"/>
          <w:szCs w:val="24"/>
        </w:rPr>
        <w:t>2</w:t>
      </w:r>
    </w:p>
    <w:p w14:paraId="2CFE1919" w14:textId="77777777" w:rsidR="00850D96" w:rsidRPr="00FF3F81" w:rsidRDefault="00850D96" w:rsidP="00CA26CE">
      <w:pPr>
        <w:pStyle w:val="Header"/>
        <w:rPr>
          <w:bCs/>
          <w:noProof w:val="0"/>
          <w:sz w:val="24"/>
          <w:lang w:eastAsia="ja-JP"/>
        </w:rPr>
      </w:pPr>
    </w:p>
    <w:p w14:paraId="30E02941" w14:textId="1DEEBACC"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1B67A4" w:rsidRPr="00FF3F81">
        <w:rPr>
          <w:rFonts w:cs="Arial"/>
          <w:b/>
          <w:bCs/>
          <w:sz w:val="24"/>
          <w:szCs w:val="24"/>
          <w:lang w:val="en-US"/>
        </w:rPr>
        <w:t>8.8</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2808D78F"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A3446F" w:rsidRPr="00A3446F">
        <w:rPr>
          <w:rFonts w:ascii="Arial" w:hAnsi="Arial" w:cs="Arial"/>
          <w:b/>
          <w:bCs/>
          <w:sz w:val="24"/>
          <w:lang w:val="en-US"/>
        </w:rPr>
        <w:t xml:space="preserve">Remaining issues on </w:t>
      </w:r>
      <w:r w:rsidR="00A3446F">
        <w:rPr>
          <w:rFonts w:ascii="Arial" w:hAnsi="Arial" w:cs="Arial"/>
          <w:b/>
          <w:bCs/>
          <w:sz w:val="24"/>
          <w:lang w:val="en-US"/>
        </w:rPr>
        <w:t>j</w:t>
      </w:r>
      <w:r w:rsidR="001B67A4" w:rsidRPr="00FF3F81">
        <w:rPr>
          <w:rFonts w:ascii="Arial" w:hAnsi="Arial" w:cs="Arial"/>
          <w:b/>
          <w:bCs/>
          <w:sz w:val="24"/>
          <w:lang w:val="en-US"/>
        </w:rPr>
        <w:t xml:space="preserve">oint channel estimation for PUSCH </w:t>
      </w:r>
      <w:r w:rsidR="00EE232F">
        <w:rPr>
          <w:rFonts w:ascii="Arial" w:hAnsi="Arial" w:cs="Arial"/>
          <w:b/>
          <w:bCs/>
          <w:sz w:val="24"/>
          <w:lang w:val="en-US"/>
        </w:rPr>
        <w:t>and PUCCH</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ED1327">
      <w:pPr>
        <w:pStyle w:val="Heading1"/>
        <w:rPr>
          <w:lang w:val="en-US"/>
        </w:rPr>
      </w:pPr>
      <w:bookmarkStart w:id="1" w:name="_Ref67694016"/>
      <w:bookmarkStart w:id="2" w:name="_Toc67700556"/>
      <w:r w:rsidRPr="00FF3F81">
        <w:rPr>
          <w:lang w:val="en-US"/>
        </w:rPr>
        <w:t>Introduction</w:t>
      </w:r>
      <w:bookmarkEnd w:id="1"/>
      <w:bookmarkEnd w:id="2"/>
    </w:p>
    <w:p w14:paraId="182FB316" w14:textId="192FA7E1" w:rsidR="001B67A4" w:rsidRPr="00FF3F81" w:rsidRDefault="001B67A4" w:rsidP="00AA5F55">
      <w:pPr>
        <w:spacing w:after="120" w:line="276" w:lineRule="auto"/>
        <w:jc w:val="both"/>
        <w:rPr>
          <w:szCs w:val="22"/>
          <w:lang w:val="en-US"/>
        </w:rPr>
      </w:pPr>
      <w:bookmarkStart w:id="3" w:name="_Hlk510705081"/>
      <w:r w:rsidRPr="00FF3F81">
        <w:rPr>
          <w:szCs w:val="22"/>
          <w:lang w:val="en-US"/>
        </w:rPr>
        <w:t>Th</w:t>
      </w:r>
      <w:r w:rsidR="00AA5F55">
        <w:rPr>
          <w:szCs w:val="22"/>
          <w:lang w:val="en-US"/>
        </w:rPr>
        <w:t>is contribution discusses the remaining issues on joint channel estimation for PUSCH and PUCCH, stemming from discussions and agreements made in RAN1 #10</w:t>
      </w:r>
      <w:r w:rsidR="00D03A31">
        <w:rPr>
          <w:szCs w:val="22"/>
          <w:lang w:val="en-US"/>
        </w:rPr>
        <w:t>9</w:t>
      </w:r>
      <w:r w:rsidR="00AA5F55">
        <w:rPr>
          <w:szCs w:val="22"/>
          <w:lang w:val="en-US"/>
        </w:rPr>
        <w:t>-e.</w:t>
      </w:r>
    </w:p>
    <w:p w14:paraId="71230483" w14:textId="6A0ECAD8" w:rsidR="00305297" w:rsidRPr="00FF3F81" w:rsidRDefault="007820D0" w:rsidP="00A23DCA">
      <w:pPr>
        <w:pStyle w:val="Heading1"/>
        <w:rPr>
          <w:lang w:val="en-US"/>
        </w:rPr>
      </w:pPr>
      <w:bookmarkStart w:id="4" w:name="_Toc67700557"/>
      <w:r w:rsidRPr="00FF3F81">
        <w:rPr>
          <w:lang w:val="en-US"/>
        </w:rPr>
        <w:t>Discussion</w:t>
      </w:r>
      <w:bookmarkEnd w:id="4"/>
    </w:p>
    <w:p w14:paraId="5C4DA4C0" w14:textId="5E1860F5" w:rsidR="00925AB5" w:rsidRDefault="00925AB5" w:rsidP="0088218E">
      <w:pPr>
        <w:pStyle w:val="Heading2"/>
        <w:rPr>
          <w:lang w:val="en-US"/>
        </w:rPr>
      </w:pPr>
      <w:r>
        <w:rPr>
          <w:lang w:val="en-US"/>
        </w:rPr>
        <w:t>Frequency hopping for DMRS bundling for PUSCH</w:t>
      </w:r>
    </w:p>
    <w:p w14:paraId="4A8FC206" w14:textId="25FC9853" w:rsidR="007A6386" w:rsidRDefault="007A6386" w:rsidP="007A6386">
      <w:pPr>
        <w:rPr>
          <w:lang w:val="en-US"/>
        </w:rPr>
      </w:pPr>
      <w:r w:rsidRPr="007A6386">
        <w:rPr>
          <w:lang w:val="en-US"/>
        </w:rPr>
        <w:t>In RAN1 #109-e, extensive discussion occu</w:t>
      </w:r>
      <w:r>
        <w:rPr>
          <w:lang w:val="en-US"/>
        </w:rPr>
        <w:t>rred r</w:t>
      </w:r>
      <w:r w:rsidRPr="007A6386">
        <w:rPr>
          <w:lang w:val="en-US"/>
        </w:rPr>
        <w:t>egarding the inter-slot</w:t>
      </w:r>
      <w:r>
        <w:rPr>
          <w:lang w:val="en-US"/>
        </w:rPr>
        <w:t xml:space="preserve"> frequency</w:t>
      </w:r>
      <w:r w:rsidRPr="007A6386">
        <w:rPr>
          <w:lang w:val="en-US"/>
        </w:rPr>
        <w:t xml:space="preserve"> hopping for PUSCH with DMRS bundling enabled</w:t>
      </w:r>
      <w:r w:rsidR="00AB33AF">
        <w:rPr>
          <w:lang w:val="en-US"/>
        </w:rPr>
        <w:t xml:space="preserve"> </w:t>
      </w:r>
      <w:r w:rsidR="00AB33AF">
        <w:rPr>
          <w:lang w:val="en-US"/>
        </w:rPr>
        <w:fldChar w:fldCharType="begin"/>
      </w:r>
      <w:r w:rsidR="00AB33AF">
        <w:rPr>
          <w:lang w:val="en-US"/>
        </w:rPr>
        <w:instrText xml:space="preserve"> REF _Ref109719781 \n \h </w:instrText>
      </w:r>
      <w:r w:rsidR="00AB33AF">
        <w:rPr>
          <w:lang w:val="en-US"/>
        </w:rPr>
      </w:r>
      <w:r w:rsidR="00AB33AF">
        <w:rPr>
          <w:lang w:val="en-US"/>
        </w:rPr>
        <w:fldChar w:fldCharType="separate"/>
      </w:r>
      <w:r w:rsidR="00F170DE">
        <w:rPr>
          <w:lang w:val="en-US"/>
        </w:rPr>
        <w:t>[1]</w:t>
      </w:r>
      <w:r w:rsidR="00AB33AF">
        <w:rPr>
          <w:lang w:val="en-US"/>
        </w:rPr>
        <w:fldChar w:fldCharType="end"/>
      </w:r>
      <w:r>
        <w:rPr>
          <w:lang w:val="en-US"/>
        </w:rPr>
        <w:t>.</w:t>
      </w:r>
      <w:r w:rsidRPr="007A6386">
        <w:rPr>
          <w:lang w:val="en-US"/>
        </w:rPr>
        <w:t xml:space="preserve"> </w:t>
      </w:r>
      <w:r>
        <w:rPr>
          <w:lang w:val="en-US"/>
        </w:rPr>
        <w:t>The following</w:t>
      </w:r>
      <w:r w:rsidRPr="007A6386">
        <w:rPr>
          <w:lang w:val="en-US"/>
        </w:rPr>
        <w:t xml:space="preserve"> three different options on the details of the RB offset determination for each hop</w:t>
      </w:r>
      <w:r>
        <w:rPr>
          <w:lang w:val="en-US"/>
        </w:rPr>
        <w:t xml:space="preserve"> were</w:t>
      </w:r>
      <w:r w:rsidR="00821DD2">
        <w:rPr>
          <w:lang w:val="en-US"/>
        </w:rPr>
        <w:t xml:space="preserve"> </w:t>
      </w:r>
      <w:r>
        <w:rPr>
          <w:lang w:val="en-US"/>
        </w:rPr>
        <w:t>discussed:</w:t>
      </w:r>
    </w:p>
    <w:p w14:paraId="5A67751A" w14:textId="77777777" w:rsidR="007A6386" w:rsidRDefault="007A6386" w:rsidP="007A6386">
      <w:pPr>
        <w:pStyle w:val="ListParagraph"/>
        <w:numPr>
          <w:ilvl w:val="0"/>
          <w:numId w:val="41"/>
        </w:numPr>
        <w:rPr>
          <w:lang w:val="en-US"/>
        </w:rPr>
      </w:pPr>
      <w:r w:rsidRPr="007A6386">
        <w:rPr>
          <w:lang w:val="en-US"/>
        </w:rPr>
        <w:t>Option 1: using physical slot index only</w:t>
      </w:r>
    </w:p>
    <w:p w14:paraId="1074AC29" w14:textId="77777777" w:rsidR="007A6386" w:rsidRDefault="007A6386" w:rsidP="007A6386">
      <w:pPr>
        <w:pStyle w:val="ListParagraph"/>
        <w:numPr>
          <w:ilvl w:val="0"/>
          <w:numId w:val="41"/>
        </w:numPr>
        <w:rPr>
          <w:lang w:val="en-US"/>
        </w:rPr>
      </w:pPr>
      <w:r w:rsidRPr="007A6386">
        <w:rPr>
          <w:lang w:val="en-US"/>
        </w:rPr>
        <w:t>Option 2: using SFN and physical slot index</w:t>
      </w:r>
    </w:p>
    <w:p w14:paraId="30BC08B5" w14:textId="60EA9D01" w:rsidR="00DC04AF" w:rsidRDefault="007A6386" w:rsidP="007A6386">
      <w:pPr>
        <w:pStyle w:val="ListParagraph"/>
        <w:numPr>
          <w:ilvl w:val="0"/>
          <w:numId w:val="41"/>
        </w:numPr>
        <w:rPr>
          <w:lang w:val="en-US"/>
        </w:rPr>
      </w:pPr>
      <w:r w:rsidRPr="007A6386">
        <w:rPr>
          <w:lang w:val="en-US"/>
        </w:rPr>
        <w:t>Option 3: using relative SFN and physical slot index.</w:t>
      </w:r>
    </w:p>
    <w:p w14:paraId="23961977" w14:textId="77777777" w:rsidR="00C46EB6" w:rsidRPr="00C46EB6" w:rsidRDefault="00C46EB6" w:rsidP="00C46EB6">
      <w:pPr>
        <w:pStyle w:val="ListParagraph"/>
        <w:rPr>
          <w:lang w:val="en-US"/>
        </w:rPr>
      </w:pPr>
    </w:p>
    <w:p w14:paraId="5D927941" w14:textId="0BED7F1B" w:rsidR="007A6386" w:rsidRDefault="00AB33AF" w:rsidP="007A6386">
      <w:pPr>
        <w:rPr>
          <w:lang w:val="en-US"/>
        </w:rPr>
      </w:pPr>
      <w:r>
        <w:rPr>
          <w:lang w:val="en-US"/>
        </w:rPr>
        <w:t>wherein the main difference between Option 1 and Option 2/3 is that with Option 1 a UE would determine a frequency hopping pattern with DMRS bundling only within frame boundaries, without considering the system frame number.</w:t>
      </w:r>
      <w:r w:rsidR="00400561">
        <w:rPr>
          <w:lang w:val="en-US"/>
        </w:rPr>
        <w:t xml:space="preserve"> This</w:t>
      </w:r>
      <w:r w:rsidR="00AA7C2A">
        <w:rPr>
          <w:lang w:val="en-US"/>
        </w:rPr>
        <w:t xml:space="preserve"> not only</w:t>
      </w:r>
      <w:r w:rsidR="00400561">
        <w:rPr>
          <w:lang w:val="en-US"/>
        </w:rPr>
        <w:t xml:space="preserve"> leads to a</w:t>
      </w:r>
      <w:r w:rsidR="00AA7C2A">
        <w:rPr>
          <w:lang w:val="en-US"/>
        </w:rPr>
        <w:t>n</w:t>
      </w:r>
      <w:r w:rsidR="00400561">
        <w:rPr>
          <w:lang w:val="en-US"/>
        </w:rPr>
        <w:t xml:space="preserve"> imbalance</w:t>
      </w:r>
      <w:r w:rsidR="00AA7C2A">
        <w:rPr>
          <w:lang w:val="en-US"/>
        </w:rPr>
        <w:t xml:space="preserve"> of the hopping pattern whenever </w:t>
      </w:r>
      <w:r w:rsidR="00AA7C2A" w:rsidRPr="00AA7C2A">
        <w:rPr>
          <w:lang w:val="en-US"/>
        </w:rPr>
        <w:t>repetitions cross frame boundaries</w:t>
      </w:r>
      <w:r w:rsidR="00AA7C2A">
        <w:rPr>
          <w:lang w:val="en-US"/>
        </w:rPr>
        <w:t xml:space="preserve"> but also to poorer performance of the joint channel estimation. Let us recall that this feature was introduced to enhance the performance of the joint channel estimation, without which the feature has no reason to exist. The enhanced frequency hopping pattern by itself provides lower performance than the legacy inter-slot frequency hopping pattern, hence priority in the design of this feature shall be given to the joint channel estimation and its performance.</w:t>
      </w:r>
    </w:p>
    <w:p w14:paraId="3131EA01" w14:textId="70F2DEC9" w:rsidR="00AA7C2A" w:rsidRDefault="00AA7C2A" w:rsidP="007A6386">
      <w:pPr>
        <w:rPr>
          <w:lang w:val="en-US"/>
        </w:rPr>
      </w:pPr>
      <w:r>
        <w:rPr>
          <w:lang w:val="en-US"/>
        </w:rPr>
        <w:t xml:space="preserve">Based on the above considerations, we believe that Option 2 should be adopted for definition of the frequency hopping pattern in case of DMRS bundling for the PUSCH channel. Option 2 is already integrated in the latest version of the specifications, with </w:t>
      </w:r>
      <w:r w:rsidR="0076465D">
        <w:rPr>
          <w:lang w:val="en-US"/>
        </w:rPr>
        <w:t>the equation for RB offset determination in square brackets.</w:t>
      </w:r>
      <w:r w:rsidR="00B15C2D">
        <w:rPr>
          <w:lang w:val="en-US"/>
        </w:rPr>
        <w:t xml:space="preserve"> For this reason, in our companion contribution</w:t>
      </w:r>
      <w:r w:rsidR="002E7AAE">
        <w:rPr>
          <w:lang w:val="en-US"/>
        </w:rPr>
        <w:t xml:space="preserve"> R1-2207105</w:t>
      </w:r>
      <w:r w:rsidR="00B15C2D">
        <w:rPr>
          <w:lang w:val="en-US"/>
        </w:rPr>
        <w:t>, we propose to remove the square brackets and confirm the text in the specifications.</w:t>
      </w:r>
    </w:p>
    <w:p w14:paraId="0C7C8FB3" w14:textId="0D94CDA6" w:rsidR="00400561" w:rsidRDefault="004054EA" w:rsidP="004054EA">
      <w:pPr>
        <w:pStyle w:val="Caption"/>
        <w:rPr>
          <w:b w:val="0"/>
          <w:bCs/>
          <w:lang w:val="en-US"/>
        </w:rPr>
      </w:pPr>
      <w:r>
        <w:t xml:space="preserve">Proposal </w:t>
      </w:r>
      <w:r>
        <w:fldChar w:fldCharType="begin"/>
      </w:r>
      <w:r>
        <w:instrText xml:space="preserve"> SEQ Proposal \* ARABIC </w:instrText>
      </w:r>
      <w:r>
        <w:fldChar w:fldCharType="separate"/>
      </w:r>
      <w:r w:rsidR="00A84314">
        <w:rPr>
          <w:noProof/>
        </w:rPr>
        <w:t>1</w:t>
      </w:r>
      <w:r>
        <w:fldChar w:fldCharType="end"/>
      </w:r>
      <w:r>
        <w:t xml:space="preserve">. </w:t>
      </w:r>
      <w:r w:rsidR="00B15C2D" w:rsidRPr="00B15C2D">
        <w:rPr>
          <w:bCs/>
          <w:lang w:val="en-US"/>
        </w:rPr>
        <w:t xml:space="preserve">Adopt Option 2, using SFN and physical slot index, for determination of the </w:t>
      </w:r>
      <w:r w:rsidR="003A0BCE">
        <w:rPr>
          <w:bCs/>
          <w:lang w:val="en-US"/>
        </w:rPr>
        <w:t xml:space="preserve">starting </w:t>
      </w:r>
      <w:r w:rsidR="00B15C2D" w:rsidRPr="00B15C2D">
        <w:rPr>
          <w:bCs/>
          <w:lang w:val="en-US"/>
        </w:rPr>
        <w:t>RB for each hop.</w:t>
      </w:r>
    </w:p>
    <w:p w14:paraId="359EA3A6" w14:textId="3C5BADBB" w:rsidR="00002EC0" w:rsidRDefault="00612102" w:rsidP="007A6386">
      <w:pPr>
        <w:rPr>
          <w:lang w:val="en-US"/>
        </w:rPr>
      </w:pPr>
      <w:r w:rsidRPr="00612102">
        <w:rPr>
          <w:lang w:val="en-US"/>
        </w:rPr>
        <w:t xml:space="preserve">The current specification text </w:t>
      </w:r>
      <w:r>
        <w:rPr>
          <w:lang w:val="en-US"/>
        </w:rPr>
        <w:t>for determination of the starting RB for each hop in case DMRS bundling is enabled is as follows:</w:t>
      </w:r>
    </w:p>
    <w:tbl>
      <w:tblPr>
        <w:tblStyle w:val="TableGrid"/>
        <w:tblW w:w="0" w:type="auto"/>
        <w:tblLook w:val="04A0" w:firstRow="1" w:lastRow="0" w:firstColumn="1" w:lastColumn="0" w:noHBand="0" w:noVBand="1"/>
      </w:tblPr>
      <w:tblGrid>
        <w:gridCol w:w="9629"/>
      </w:tblGrid>
      <w:tr w:rsidR="00612102" w14:paraId="24F823F4" w14:textId="77777777" w:rsidTr="00612102">
        <w:tc>
          <w:tcPr>
            <w:tcW w:w="9629" w:type="dxa"/>
          </w:tcPr>
          <w:p w14:paraId="31656855" w14:textId="77777777" w:rsidR="00612102" w:rsidRPr="00571A30" w:rsidRDefault="00612102" w:rsidP="00612102">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val="en-US"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val="en-US" w:eastAsia="ja-JP"/>
              </w:rPr>
              <w:t>t</w:t>
            </w:r>
            <w:r w:rsidRPr="0048482F">
              <w:rPr>
                <w:color w:val="000000"/>
              </w:rPr>
              <w:t>he starting RB during slot</w:t>
            </w:r>
            <w:r>
              <w:rPr>
                <w:color w:val="000000"/>
              </w:rPr>
              <w:t xml:space="preserve"> </w:t>
            </w:r>
            <w:r w:rsidRPr="00612102">
              <w:rPr>
                <w:color w:val="000000"/>
                <w:position w:val="-10"/>
                <w:highlight w:val="yellow"/>
              </w:rPr>
              <w:object w:dxaOrig="279" w:dyaOrig="340" w14:anchorId="5E881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13" o:title=""/>
                </v:shape>
                <o:OLEObject Type="Embed" ProgID="Equation.3" ShapeID="_x0000_i1025" DrawAspect="Content" ObjectID="_1721814054" r:id="rId14"/>
              </w:object>
            </w:r>
            <w:r w:rsidRPr="0048482F">
              <w:rPr>
                <w:color w:val="000000"/>
              </w:rPr>
              <w:t xml:space="preserve"> is given by:</w:t>
            </w:r>
            <w:r>
              <w:rPr>
                <w:color w:val="000000"/>
              </w:rPr>
              <w:t xml:space="preserve"> </w:t>
            </w:r>
          </w:p>
          <w:p w14:paraId="1A604505" w14:textId="77777777" w:rsidR="00612102" w:rsidRPr="00C3575D" w:rsidRDefault="00612102" w:rsidP="00612102">
            <w:pPr>
              <w:pStyle w:val="EQ"/>
              <w:rPr>
                <w:lang w:val=""/>
              </w:rPr>
            </w:pPr>
            <w:r>
              <w:rPr>
                <w:noProof w:val="0"/>
                <w:lang w:val=""/>
              </w:rPr>
              <w:tab/>
              <w:t>[</w:t>
            </w:r>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highlight w:val="yellow"/>
                          <w:lang w:val=""/>
                        </w:rPr>
                      </m:ctrlPr>
                    </m:sSubSupPr>
                    <m:e>
                      <m:r>
                        <w:rPr>
                          <w:rFonts w:ascii="Cambria Math" w:hAnsi="Cambria Math"/>
                          <w:highlight w:val="yellow"/>
                          <w:lang w:val=""/>
                        </w:rPr>
                        <m:t>n</m:t>
                      </m:r>
                    </m:e>
                    <m:sub>
                      <m:r>
                        <w:rPr>
                          <w:rFonts w:ascii="Cambria Math" w:hAnsi="Cambria Math"/>
                          <w:highlight w:val="yellow"/>
                          <w:lang w:val=""/>
                        </w:rPr>
                        <m:t>s,f</m:t>
                      </m:r>
                    </m:sub>
                    <m:sup>
                      <m:r>
                        <w:rPr>
                          <w:rFonts w:ascii="Cambria Math" w:hAnsi="Cambria Math"/>
                          <w:highlight w:val="yellow"/>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r>
              <w:rPr>
                <w:lang w:val=""/>
              </w:rPr>
              <w:t>]</w:t>
            </w:r>
          </w:p>
          <w:p w14:paraId="237D9CE1" w14:textId="7F94F3A4" w:rsidR="00612102" w:rsidRPr="00612102" w:rsidRDefault="00612102" w:rsidP="007A6386">
            <w:pPr>
              <w:rPr>
                <w:color w:val="000000"/>
              </w:rPr>
            </w:pPr>
            <w:r w:rsidRPr="0048482F">
              <w:rPr>
                <w:color w:val="000000"/>
              </w:rPr>
              <w:lastRenderedPageBreak/>
              <w:t>where</w:t>
            </w:r>
            <w:r>
              <w:rPr>
                <w:color w:val="000000"/>
              </w:rPr>
              <w:t xml:space="preserve">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PUSCH-Frequencyhopping-Interval</w:t>
            </w:r>
            <w:r>
              <w:rPr>
                <w:rFonts w:eastAsia="DengXian"/>
                <w:iCs/>
              </w:rPr>
              <w:t>,</w:t>
            </w:r>
            <w:r>
              <w:rPr>
                <w:lang w:val=""/>
              </w:rPr>
              <w:t xml:space="preserve"> </w:t>
            </w:r>
            <w:r w:rsidRPr="0048482F">
              <w:rPr>
                <w:color w:val="000000"/>
                <w:position w:val="-10"/>
              </w:rPr>
              <w:object w:dxaOrig="600" w:dyaOrig="300" w14:anchorId="258DB379">
                <v:shape id="_x0000_i1026" type="#_x0000_t75" style="width:31.2pt;height:15.6pt" o:ole="">
                  <v:imagedata r:id="rId15" o:title=""/>
                </v:shape>
                <o:OLEObject Type="Embed" ProgID="Equation.3" ShapeID="_x0000_i1026" DrawAspect="Content" ObjectID="_1721814055" r:id="rId16"/>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482AEA25">
                <v:shape id="_x0000_i1027" type="#_x0000_t75" style="width:36pt;height:15.6pt" o:ole="">
                  <v:imagedata r:id="rId17" o:title=""/>
                </v:shape>
                <o:OLEObject Type="Embed" ProgID="Equation.3" ShapeID="_x0000_i1027" DrawAspect="Content" ObjectID="_1721814056" r:id="rId18"/>
              </w:object>
            </w:r>
            <w:r w:rsidRPr="0048482F">
              <w:rPr>
                <w:color w:val="000000"/>
              </w:rPr>
              <w:t>is the frequency offset in RBs between the two frequency hops</w:t>
            </w:r>
            <w:r>
              <w:rPr>
                <w:color w:val="000000"/>
              </w:rPr>
              <w:t>.</w:t>
            </w:r>
          </w:p>
        </w:tc>
      </w:tr>
    </w:tbl>
    <w:p w14:paraId="2424ADC3" w14:textId="77777777" w:rsidR="00612102" w:rsidRPr="00612102" w:rsidRDefault="00612102" w:rsidP="007A6386">
      <w:pPr>
        <w:rPr>
          <w:lang w:val="en-US"/>
        </w:rPr>
      </w:pPr>
    </w:p>
    <w:p w14:paraId="71270DDC" w14:textId="3059B8DC" w:rsidR="00612102" w:rsidRDefault="00612102" w:rsidP="007A6386">
      <w:pPr>
        <w:rPr>
          <w:lang w:val="en-US"/>
        </w:rPr>
      </w:pPr>
      <w:r>
        <w:rPr>
          <w:lang w:val="en-US"/>
        </w:rPr>
        <w:t xml:space="preserve">In particular, the yellow part highlights </w:t>
      </w:r>
      <w:r w:rsidRPr="00612102">
        <w:rPr>
          <w:lang w:val="en-US"/>
        </w:rPr>
        <w:t xml:space="preserve">an inconsistency in notation </w:t>
      </w:r>
      <w:r>
        <w:rPr>
          <w:lang w:val="en-US"/>
        </w:rPr>
        <w:t xml:space="preserve">for definition of the slots number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m:t>
            </m:r>
          </m:sub>
          <m:sup>
            <m:r>
              <w:rPr>
                <w:rFonts w:ascii="Cambria Math" w:hAnsi="Cambria Math"/>
                <w:lang w:val="en-US"/>
              </w:rPr>
              <m:t>μ</m:t>
            </m:r>
          </m:sup>
        </m:sSubSup>
      </m:oMath>
      <w:r>
        <w:rPr>
          <w:lang w:val="en-US"/>
        </w:rPr>
        <w:t xml:space="preserve">, in the introductory text referred to as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m:t>
            </m:r>
          </m:sub>
          <m:sup>
            <m:r>
              <w:rPr>
                <w:rFonts w:ascii="Cambria Math" w:hAnsi="Cambria Math"/>
                <w:lang w:val="en-US"/>
              </w:rPr>
              <m:t>μ</m:t>
            </m:r>
          </m:sup>
        </m:sSubSup>
      </m:oMath>
      <w:r>
        <w:rPr>
          <w:lang w:val="en-US"/>
        </w:rPr>
        <w:t xml:space="preserve"> but in the formula as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 f</m:t>
            </m:r>
          </m:sub>
          <m:sup>
            <m:r>
              <w:rPr>
                <w:rFonts w:ascii="Cambria Math" w:hAnsi="Cambria Math"/>
                <w:lang w:val="en-US"/>
              </w:rPr>
              <m:t>μ</m:t>
            </m:r>
          </m:sup>
        </m:sSubSup>
      </m:oMath>
      <w:r>
        <w:rPr>
          <w:lang w:val="en-US"/>
        </w:rPr>
        <w:t xml:space="preserve">. Although we understand the rationale behind the addition of the subscript </w:t>
      </w:r>
      <m:oMath>
        <m:r>
          <w:rPr>
            <w:rFonts w:ascii="Cambria Math" w:hAnsi="Cambria Math"/>
            <w:lang w:val="en-US"/>
          </w:rPr>
          <m:t>f</m:t>
        </m:r>
      </m:oMath>
      <w:r>
        <w:rPr>
          <w:lang w:val="en-US"/>
        </w:rPr>
        <w:t xml:space="preserve">, we </w:t>
      </w:r>
      <w:r w:rsidR="00FB187B">
        <w:rPr>
          <w:lang w:val="en-US"/>
        </w:rPr>
        <w:t>prefer</w:t>
      </w:r>
      <w:r>
        <w:rPr>
          <w:lang w:val="en-US"/>
        </w:rPr>
        <w:t xml:space="preserve"> to refer to the </w:t>
      </w:r>
      <w:r w:rsidRPr="0048482F">
        <w:rPr>
          <w:color w:val="000000"/>
        </w:rPr>
        <w:t xml:space="preserve">slot number within </w:t>
      </w:r>
      <w:r>
        <w:rPr>
          <w:color w:val="000000"/>
        </w:rPr>
        <w:t>a</w:t>
      </w:r>
      <w:r w:rsidRPr="0048482F">
        <w:rPr>
          <w:color w:val="000000"/>
        </w:rPr>
        <w:t xml:space="preserve"> </w:t>
      </w:r>
      <w:r>
        <w:rPr>
          <w:color w:val="000000"/>
        </w:rPr>
        <w:t xml:space="preserve">system </w:t>
      </w:r>
      <w:r w:rsidRPr="0048482F">
        <w:rPr>
          <w:color w:val="000000"/>
        </w:rPr>
        <w:t>radio frame</w:t>
      </w:r>
      <w:r w:rsidR="00C21C20">
        <w:rPr>
          <w:color w:val="000000"/>
        </w:rPr>
        <w:t xml:space="preserve"> consistently throughout the specifications</w:t>
      </w:r>
      <w:r>
        <w:rPr>
          <w:color w:val="000000"/>
        </w:rPr>
        <w:t xml:space="preserve"> as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m:t>
            </m:r>
          </m:sub>
          <m:sup>
            <m:r>
              <w:rPr>
                <w:rFonts w:ascii="Cambria Math" w:hAnsi="Cambria Math"/>
                <w:lang w:val="en-US"/>
              </w:rPr>
              <m:t>μ</m:t>
            </m:r>
          </m:sup>
        </m:sSubSup>
      </m:oMath>
      <w:r>
        <w:rPr>
          <w:lang w:val="en-US"/>
        </w:rPr>
        <w:t xml:space="preserve"> in alignment with the notation already used to describe the frequency hopping behavior in the case </w:t>
      </w:r>
      <w:r w:rsidR="00DE0A9F">
        <w:rPr>
          <w:lang w:val="en-US"/>
        </w:rPr>
        <w:t>DMRS bundling</w:t>
      </w:r>
      <w:r>
        <w:rPr>
          <w:lang w:val="en-US"/>
        </w:rPr>
        <w:t xml:space="preserve"> is not enabled.</w:t>
      </w:r>
    </w:p>
    <w:p w14:paraId="3D5EA64A" w14:textId="66B00120" w:rsidR="00612102" w:rsidRDefault="004054EA" w:rsidP="004054EA">
      <w:pPr>
        <w:pStyle w:val="Caption"/>
        <w:rPr>
          <w:bCs/>
          <w:lang w:val="en-US"/>
        </w:rPr>
      </w:pPr>
      <w:r>
        <w:t xml:space="preserve">Proposal </w:t>
      </w:r>
      <w:r>
        <w:fldChar w:fldCharType="begin"/>
      </w:r>
      <w:r>
        <w:instrText xml:space="preserve"> SEQ Proposal \* ARABIC </w:instrText>
      </w:r>
      <w:r>
        <w:fldChar w:fldCharType="separate"/>
      </w:r>
      <w:r w:rsidR="00A84314">
        <w:rPr>
          <w:noProof/>
        </w:rPr>
        <w:t>2</w:t>
      </w:r>
      <w:r>
        <w:fldChar w:fldCharType="end"/>
      </w:r>
      <w:r>
        <w:t xml:space="preserve">. </w:t>
      </w:r>
      <w:r w:rsidR="00AE6A97" w:rsidRPr="00AE6A97">
        <w:rPr>
          <w:bCs/>
          <w:lang w:val="en-US"/>
        </w:rPr>
        <w:t>RAN1 to agree on a unified notation for the slot number within a system radio frame</w:t>
      </w:r>
      <w:r w:rsidR="00547606">
        <w:rPr>
          <w:bCs/>
          <w:lang w:val="en-US"/>
        </w:rPr>
        <w:t>.</w:t>
      </w:r>
    </w:p>
    <w:p w14:paraId="092818F2" w14:textId="77777777" w:rsidR="0039057E" w:rsidRPr="0039057E" w:rsidRDefault="0039057E" w:rsidP="0039057E">
      <w:pPr>
        <w:rPr>
          <w:lang w:val="en-US"/>
        </w:rPr>
      </w:pPr>
    </w:p>
    <w:p w14:paraId="5114D5C1" w14:textId="340C70BC" w:rsidR="0088218E" w:rsidRPr="00FF3F81" w:rsidRDefault="0088218E" w:rsidP="0088218E">
      <w:pPr>
        <w:pStyle w:val="Heading2"/>
        <w:rPr>
          <w:lang w:val="en-US"/>
        </w:rPr>
      </w:pPr>
      <w:r w:rsidRPr="00FF3F81">
        <w:rPr>
          <w:lang w:val="en-US"/>
        </w:rPr>
        <w:t>Restarting of actual time domain window (TDW)</w:t>
      </w:r>
    </w:p>
    <w:p w14:paraId="1BF1CD25" w14:textId="33E9A79A" w:rsidR="00E33AEA" w:rsidRDefault="009F0B87" w:rsidP="00813432">
      <w:pPr>
        <w:spacing w:before="120" w:after="120" w:line="276" w:lineRule="auto"/>
        <w:jc w:val="both"/>
        <w:rPr>
          <w:lang w:val="en-US"/>
        </w:rPr>
      </w:pPr>
      <w:r w:rsidRPr="00FF3F81">
        <w:rPr>
          <w:lang w:val="en-US"/>
        </w:rPr>
        <w:t>In</w:t>
      </w:r>
      <w:r w:rsidR="00DD4572">
        <w:rPr>
          <w:lang w:val="en-US"/>
        </w:rPr>
        <w:t xml:space="preserve"> RAN1#10</w:t>
      </w:r>
      <w:r w:rsidR="00E33AEA">
        <w:rPr>
          <w:lang w:val="en-US"/>
        </w:rPr>
        <w:t>9</w:t>
      </w:r>
      <w:r w:rsidR="00DD4572">
        <w:rPr>
          <w:lang w:val="en-US"/>
        </w:rPr>
        <w:t>-e</w:t>
      </w:r>
      <w:r w:rsidRPr="00FF3F81">
        <w:rPr>
          <w:lang w:val="en-US"/>
        </w:rPr>
        <w:t xml:space="preserve">, </w:t>
      </w:r>
      <w:r w:rsidR="00E33AEA">
        <w:rPr>
          <w:lang w:val="en-US"/>
        </w:rPr>
        <w:t>discussion on whether a UE is expected to restart an actual TDW after a semi-static event finished with the following feature lead proposal:</w:t>
      </w:r>
    </w:p>
    <w:tbl>
      <w:tblPr>
        <w:tblStyle w:val="TableGrid"/>
        <w:tblW w:w="0" w:type="auto"/>
        <w:tblLook w:val="04A0" w:firstRow="1" w:lastRow="0" w:firstColumn="1" w:lastColumn="0" w:noHBand="0" w:noVBand="1"/>
      </w:tblPr>
      <w:tblGrid>
        <w:gridCol w:w="9629"/>
      </w:tblGrid>
      <w:tr w:rsidR="00E33AEA" w14:paraId="7BBC7F58" w14:textId="77777777" w:rsidTr="00E33AEA">
        <w:tc>
          <w:tcPr>
            <w:tcW w:w="9629" w:type="dxa"/>
          </w:tcPr>
          <w:p w14:paraId="5CF2D9C9" w14:textId="77777777" w:rsidR="00E33AEA" w:rsidRDefault="00E33AEA" w:rsidP="00E33AEA">
            <w:pPr>
              <w:snapToGrid w:val="0"/>
              <w:spacing w:after="100" w:afterAutospacing="1"/>
              <w:rPr>
                <w:szCs w:val="21"/>
              </w:rPr>
            </w:pPr>
            <w:r>
              <w:rPr>
                <w:b/>
                <w:szCs w:val="21"/>
                <w:highlight w:val="yellow"/>
              </w:rPr>
              <w:t>Proposal 3-v4:</w:t>
            </w:r>
          </w:p>
          <w:p w14:paraId="6B99EEF9" w14:textId="77777777" w:rsidR="00E33AEA" w:rsidRDefault="00E33AEA" w:rsidP="00E33AEA">
            <w:pPr>
              <w:pStyle w:val="ListParagraph"/>
              <w:numPr>
                <w:ilvl w:val="0"/>
                <w:numId w:val="42"/>
              </w:numPr>
              <w:autoSpaceDE w:val="0"/>
              <w:autoSpaceDN w:val="0"/>
              <w:adjustRightInd w:val="0"/>
              <w:snapToGrid w:val="0"/>
              <w:spacing w:before="156" w:after="200" w:line="276" w:lineRule="auto"/>
              <w:jc w:val="both"/>
              <w:rPr>
                <w:szCs w:val="21"/>
              </w:rPr>
            </w:pPr>
            <w:r w:rsidRPr="00C0185A">
              <w:rPr>
                <w:szCs w:val="21"/>
              </w:rPr>
              <w:t>For U</w:t>
            </w:r>
            <w:r>
              <w:rPr>
                <w:szCs w:val="21"/>
              </w:rPr>
              <w:t>E not capable of restarting DM</w:t>
            </w:r>
            <w:r w:rsidRPr="00C0185A">
              <w:rPr>
                <w:szCs w:val="21"/>
              </w:rPr>
              <w:t xml:space="preserve">RS bundling in response to dynamic events subject to FG-4g, </w:t>
            </w:r>
          </w:p>
          <w:p w14:paraId="0B71C96F" w14:textId="77777777" w:rsidR="00E33AEA" w:rsidRPr="00E7619D" w:rsidRDefault="00E33AEA" w:rsidP="00E33AEA">
            <w:pPr>
              <w:pStyle w:val="ListParagraph"/>
              <w:numPr>
                <w:ilvl w:val="1"/>
                <w:numId w:val="42"/>
              </w:numPr>
              <w:autoSpaceDE w:val="0"/>
              <w:autoSpaceDN w:val="0"/>
              <w:adjustRightInd w:val="0"/>
              <w:snapToGrid w:val="0"/>
              <w:spacing w:before="156" w:after="200" w:line="276" w:lineRule="auto"/>
              <w:jc w:val="both"/>
              <w:rPr>
                <w:szCs w:val="21"/>
              </w:rPr>
            </w:pPr>
            <w:r w:rsidRPr="00E7619D">
              <w:rPr>
                <w:szCs w:val="21"/>
              </w:rPr>
              <w:t xml:space="preserve">UE is able to </w:t>
            </w:r>
            <w:r>
              <w:rPr>
                <w:szCs w:val="21"/>
              </w:rPr>
              <w:t>restart</w:t>
            </w:r>
            <w:r w:rsidRPr="00E7619D">
              <w:rPr>
                <w:szCs w:val="21"/>
              </w:rPr>
              <w:t xml:space="preserve"> DMRS bundling after </w:t>
            </w:r>
            <w:r>
              <w:rPr>
                <w:szCs w:val="21"/>
              </w:rPr>
              <w:t>a</w:t>
            </w:r>
            <w:r w:rsidRPr="00E7619D">
              <w:rPr>
                <w:szCs w:val="21"/>
              </w:rPr>
              <w:t xml:space="preserve"> semi-static event</w:t>
            </w:r>
            <w:r>
              <w:rPr>
                <w:szCs w:val="21"/>
              </w:rPr>
              <w:t>, i</w:t>
            </w:r>
            <w:r w:rsidRPr="00E7619D">
              <w:rPr>
                <w:szCs w:val="21"/>
              </w:rPr>
              <w:t xml:space="preserve">f there are no precedent dynamic events and no overlapping dynamic events with </w:t>
            </w:r>
            <w:r>
              <w:rPr>
                <w:szCs w:val="21"/>
              </w:rPr>
              <w:t>the</w:t>
            </w:r>
            <w:r w:rsidRPr="00E7619D">
              <w:rPr>
                <w:szCs w:val="21"/>
              </w:rPr>
              <w:t xml:space="preserve"> semi-static event within the nominal TDW. </w:t>
            </w:r>
          </w:p>
          <w:p w14:paraId="27496E48" w14:textId="77777777" w:rsidR="00E33AEA" w:rsidRPr="00135669" w:rsidRDefault="00E33AEA" w:rsidP="00E33AEA">
            <w:pPr>
              <w:pStyle w:val="ListParagraph"/>
              <w:numPr>
                <w:ilvl w:val="1"/>
                <w:numId w:val="42"/>
              </w:numPr>
              <w:autoSpaceDE w:val="0"/>
              <w:autoSpaceDN w:val="0"/>
              <w:adjustRightInd w:val="0"/>
              <w:snapToGrid w:val="0"/>
              <w:spacing w:before="156" w:after="200" w:line="276" w:lineRule="auto"/>
              <w:jc w:val="both"/>
              <w:rPr>
                <w:szCs w:val="21"/>
              </w:rPr>
            </w:pPr>
            <w:r>
              <w:rPr>
                <w:szCs w:val="21"/>
              </w:rPr>
              <w:t>I</w:t>
            </w:r>
            <w:r w:rsidRPr="00135669">
              <w:rPr>
                <w:szCs w:val="21"/>
              </w:rPr>
              <w:t xml:space="preserve">t’s subject to UE capability whether UE can restarting DMRS bundling </w:t>
            </w:r>
            <w:r>
              <w:rPr>
                <w:szCs w:val="21"/>
              </w:rPr>
              <w:t>after a semi-static event,</w:t>
            </w:r>
            <w:r w:rsidRPr="00135669">
              <w:rPr>
                <w:szCs w:val="21"/>
              </w:rPr>
              <w:t xml:space="preserve"> </w:t>
            </w:r>
            <w:r>
              <w:rPr>
                <w:szCs w:val="21"/>
              </w:rPr>
              <w:t>i</w:t>
            </w:r>
            <w:r w:rsidRPr="00135669">
              <w:rPr>
                <w:szCs w:val="21"/>
              </w:rPr>
              <w:t xml:space="preserve">f there are precedent dynamic events or overlapping dynamic events with </w:t>
            </w:r>
            <w:r>
              <w:rPr>
                <w:szCs w:val="21"/>
              </w:rPr>
              <w:t>the</w:t>
            </w:r>
            <w:r w:rsidRPr="00135669">
              <w:rPr>
                <w:szCs w:val="21"/>
              </w:rPr>
              <w:t xml:space="preserve"> semi-static event </w:t>
            </w:r>
            <w:r>
              <w:rPr>
                <w:szCs w:val="21"/>
              </w:rPr>
              <w:t>within the nominal TDW</w:t>
            </w:r>
            <w:r w:rsidRPr="00135669">
              <w:rPr>
                <w:szCs w:val="21"/>
              </w:rPr>
              <w:t xml:space="preserve">. </w:t>
            </w:r>
          </w:p>
          <w:p w14:paraId="47189A85" w14:textId="77777777" w:rsidR="00E33AEA" w:rsidRDefault="00E33AEA" w:rsidP="00E33AEA">
            <w:pPr>
              <w:pStyle w:val="ListParagraph"/>
              <w:numPr>
                <w:ilvl w:val="2"/>
                <w:numId w:val="43"/>
              </w:numPr>
              <w:autoSpaceDE w:val="0"/>
              <w:autoSpaceDN w:val="0"/>
              <w:adjustRightInd w:val="0"/>
              <w:snapToGrid w:val="0"/>
              <w:spacing w:before="156" w:after="200" w:line="276" w:lineRule="auto"/>
              <w:jc w:val="both"/>
              <w:rPr>
                <w:szCs w:val="21"/>
              </w:rPr>
            </w:pPr>
            <w:r w:rsidRPr="008953F3">
              <w:rPr>
                <w:szCs w:val="21"/>
              </w:rPr>
              <w:t xml:space="preserve">UE Cap 0: </w:t>
            </w:r>
            <w:r>
              <w:rPr>
                <w:szCs w:val="21"/>
              </w:rPr>
              <w:t xml:space="preserve">UE has </w:t>
            </w:r>
            <w:r w:rsidRPr="008953F3">
              <w:rPr>
                <w:szCs w:val="21"/>
              </w:rPr>
              <w:t xml:space="preserve">no ability to restart </w:t>
            </w:r>
            <w:r>
              <w:rPr>
                <w:szCs w:val="21"/>
              </w:rPr>
              <w:t xml:space="preserve">DMRS </w:t>
            </w:r>
            <w:r w:rsidRPr="008953F3">
              <w:rPr>
                <w:szCs w:val="21"/>
              </w:rPr>
              <w:t>bundling after a dynamic event, i.e., after a dynamic event occurs</w:t>
            </w:r>
            <w:r>
              <w:rPr>
                <w:szCs w:val="21"/>
              </w:rPr>
              <w:t xml:space="preserve"> </w:t>
            </w:r>
            <w:r w:rsidRPr="008953F3">
              <w:rPr>
                <w:szCs w:val="21"/>
              </w:rPr>
              <w:t xml:space="preserve">during a nominal TDW, UE does not restart </w:t>
            </w:r>
            <w:r>
              <w:rPr>
                <w:szCs w:val="21"/>
              </w:rPr>
              <w:t xml:space="preserve">DMRS </w:t>
            </w:r>
            <w:r w:rsidRPr="008953F3">
              <w:rPr>
                <w:szCs w:val="21"/>
              </w:rPr>
              <w:t xml:space="preserve">bundling until </w:t>
            </w:r>
            <w:r>
              <w:rPr>
                <w:szCs w:val="21"/>
              </w:rPr>
              <w:t xml:space="preserve">the </w:t>
            </w:r>
            <w:r w:rsidRPr="008953F3">
              <w:rPr>
                <w:szCs w:val="21"/>
              </w:rPr>
              <w:t xml:space="preserve">end of </w:t>
            </w:r>
            <w:r>
              <w:rPr>
                <w:szCs w:val="21"/>
              </w:rPr>
              <w:t xml:space="preserve">the </w:t>
            </w:r>
            <w:r w:rsidRPr="008953F3">
              <w:rPr>
                <w:szCs w:val="21"/>
              </w:rPr>
              <w:t xml:space="preserve">nominal TDW. This behaviour applies even if semi-static events occur after </w:t>
            </w:r>
            <w:r>
              <w:rPr>
                <w:szCs w:val="21"/>
              </w:rPr>
              <w:t xml:space="preserve">or overlapping with </w:t>
            </w:r>
            <w:r w:rsidRPr="008953F3">
              <w:rPr>
                <w:szCs w:val="21"/>
              </w:rPr>
              <w:t>the dynamic event</w:t>
            </w:r>
            <w:r>
              <w:rPr>
                <w:szCs w:val="21"/>
              </w:rPr>
              <w:t xml:space="preserve"> </w:t>
            </w:r>
            <w:r w:rsidRPr="00E7619D">
              <w:rPr>
                <w:szCs w:val="21"/>
              </w:rPr>
              <w:t>within the nominal TDW</w:t>
            </w:r>
            <w:r w:rsidRPr="008953F3">
              <w:rPr>
                <w:szCs w:val="21"/>
              </w:rPr>
              <w:t>.</w:t>
            </w:r>
          </w:p>
          <w:p w14:paraId="15ECBC68" w14:textId="77777777" w:rsidR="00E33AEA" w:rsidRDefault="00E33AEA" w:rsidP="00E33AEA">
            <w:pPr>
              <w:pStyle w:val="ListParagraph"/>
              <w:numPr>
                <w:ilvl w:val="2"/>
                <w:numId w:val="43"/>
              </w:numPr>
              <w:autoSpaceDE w:val="0"/>
              <w:autoSpaceDN w:val="0"/>
              <w:adjustRightInd w:val="0"/>
              <w:snapToGrid w:val="0"/>
              <w:spacing w:before="156" w:after="200" w:line="276" w:lineRule="auto"/>
              <w:jc w:val="both"/>
              <w:rPr>
                <w:szCs w:val="21"/>
              </w:rPr>
            </w:pPr>
            <w:r w:rsidRPr="008953F3">
              <w:rPr>
                <w:szCs w:val="21"/>
              </w:rPr>
              <w:t xml:space="preserve">UE Cap 1: </w:t>
            </w:r>
            <w:r>
              <w:rPr>
                <w:szCs w:val="21"/>
              </w:rPr>
              <w:t xml:space="preserve">UE is always </w:t>
            </w:r>
            <w:r w:rsidRPr="008953F3">
              <w:rPr>
                <w:szCs w:val="21"/>
              </w:rPr>
              <w:t xml:space="preserve">able to restart </w:t>
            </w:r>
            <w:r>
              <w:rPr>
                <w:szCs w:val="21"/>
              </w:rPr>
              <w:t xml:space="preserve">DMRS </w:t>
            </w:r>
            <w:r w:rsidRPr="008953F3">
              <w:rPr>
                <w:szCs w:val="21"/>
              </w:rPr>
              <w:t xml:space="preserve">bundling after semi-static events. In case a dynamic event occurs during a nominal TDW, UE does not </w:t>
            </w:r>
            <w:r>
              <w:rPr>
                <w:szCs w:val="21"/>
              </w:rPr>
              <w:t>restart DMRS</w:t>
            </w:r>
            <w:r w:rsidRPr="008953F3">
              <w:rPr>
                <w:szCs w:val="21"/>
              </w:rPr>
              <w:t xml:space="preserve"> bundling until </w:t>
            </w:r>
            <w:r>
              <w:rPr>
                <w:szCs w:val="21"/>
              </w:rPr>
              <w:t xml:space="preserve">the </w:t>
            </w:r>
            <w:r w:rsidRPr="008953F3">
              <w:rPr>
                <w:szCs w:val="21"/>
              </w:rPr>
              <w:t>next semi-static event (if any) before the end of the nominal TDW</w:t>
            </w:r>
            <w:r>
              <w:rPr>
                <w:szCs w:val="21"/>
              </w:rPr>
              <w:t xml:space="preserve">, and </w:t>
            </w:r>
            <w:r w:rsidRPr="004E08F7">
              <w:rPr>
                <w:rFonts w:hint="eastAsia"/>
                <w:szCs w:val="21"/>
              </w:rPr>
              <w:t xml:space="preserve">UE </w:t>
            </w:r>
            <w:r>
              <w:rPr>
                <w:szCs w:val="21"/>
              </w:rPr>
              <w:t>restarts DMRS</w:t>
            </w:r>
            <w:r w:rsidRPr="004E08F7">
              <w:rPr>
                <w:szCs w:val="21"/>
              </w:rPr>
              <w:t xml:space="preserve"> bundling</w:t>
            </w:r>
            <w:r w:rsidRPr="004E08F7">
              <w:rPr>
                <w:rFonts w:hint="eastAsia"/>
                <w:szCs w:val="21"/>
              </w:rPr>
              <w:t xml:space="preserve"> after the </w:t>
            </w:r>
            <w:r w:rsidRPr="004E08F7">
              <w:rPr>
                <w:szCs w:val="21"/>
              </w:rPr>
              <w:t>semi-static event</w:t>
            </w:r>
            <w:r w:rsidRPr="008953F3">
              <w:rPr>
                <w:szCs w:val="21"/>
              </w:rPr>
              <w:t>.</w:t>
            </w:r>
          </w:p>
          <w:p w14:paraId="36049E53" w14:textId="77777777" w:rsidR="00E33AEA" w:rsidRDefault="00E33AEA" w:rsidP="00E33AEA">
            <w:pPr>
              <w:pStyle w:val="ListParagraph"/>
              <w:numPr>
                <w:ilvl w:val="0"/>
                <w:numId w:val="42"/>
              </w:numPr>
              <w:autoSpaceDE w:val="0"/>
              <w:autoSpaceDN w:val="0"/>
              <w:adjustRightInd w:val="0"/>
              <w:snapToGrid w:val="0"/>
              <w:spacing w:before="156" w:after="200" w:line="276" w:lineRule="auto"/>
              <w:jc w:val="both"/>
              <w:rPr>
                <w:szCs w:val="21"/>
              </w:rPr>
            </w:pPr>
            <w:r w:rsidRPr="00DC000B">
              <w:rPr>
                <w:szCs w:val="21"/>
              </w:rPr>
              <w:t xml:space="preserve">For UE capable of restarting DM-RS bundling in response to dynamic events subject to FG-4g, </w:t>
            </w:r>
          </w:p>
          <w:p w14:paraId="6A3AA6FF" w14:textId="77777777" w:rsidR="00E33AEA" w:rsidRDefault="00E33AEA" w:rsidP="00E33AEA">
            <w:pPr>
              <w:pStyle w:val="ListParagraph"/>
              <w:numPr>
                <w:ilvl w:val="1"/>
                <w:numId w:val="42"/>
              </w:numPr>
              <w:autoSpaceDE w:val="0"/>
              <w:autoSpaceDN w:val="0"/>
              <w:adjustRightInd w:val="0"/>
              <w:snapToGrid w:val="0"/>
              <w:spacing w:before="156" w:after="200" w:line="276" w:lineRule="auto"/>
              <w:jc w:val="both"/>
              <w:rPr>
                <w:szCs w:val="21"/>
              </w:rPr>
            </w:pPr>
            <w:r w:rsidRPr="00DC000B">
              <w:rPr>
                <w:szCs w:val="21"/>
              </w:rPr>
              <w:t>UE</w:t>
            </w:r>
            <w:r>
              <w:rPr>
                <w:szCs w:val="21"/>
              </w:rPr>
              <w:t xml:space="preserve"> Cap 2:</w:t>
            </w:r>
            <w:r w:rsidRPr="00DC000B">
              <w:rPr>
                <w:szCs w:val="21"/>
              </w:rPr>
              <w:t xml:space="preserve"> </w:t>
            </w:r>
            <w:r>
              <w:rPr>
                <w:szCs w:val="21"/>
              </w:rPr>
              <w:t xml:space="preserve">UE </w:t>
            </w:r>
            <w:r w:rsidRPr="00DC000B">
              <w:rPr>
                <w:szCs w:val="21"/>
              </w:rPr>
              <w:t xml:space="preserve">has </w:t>
            </w:r>
            <w:r>
              <w:rPr>
                <w:szCs w:val="21"/>
              </w:rPr>
              <w:t>full ability to restart</w:t>
            </w:r>
            <w:r w:rsidRPr="00DC000B">
              <w:rPr>
                <w:szCs w:val="21"/>
              </w:rPr>
              <w:t xml:space="preserve"> </w:t>
            </w:r>
            <w:r>
              <w:rPr>
                <w:szCs w:val="21"/>
              </w:rPr>
              <w:t xml:space="preserve">DMRS </w:t>
            </w:r>
            <w:r w:rsidRPr="00DC000B">
              <w:rPr>
                <w:szCs w:val="21"/>
              </w:rPr>
              <w:t xml:space="preserve">bundling, i.e., UE </w:t>
            </w:r>
            <w:r>
              <w:rPr>
                <w:szCs w:val="21"/>
              </w:rPr>
              <w:t>restarts DMRS</w:t>
            </w:r>
            <w:r w:rsidRPr="00DC000B">
              <w:rPr>
                <w:szCs w:val="21"/>
              </w:rPr>
              <w:t xml:space="preserve"> bundling after </w:t>
            </w:r>
            <w:r>
              <w:rPr>
                <w:szCs w:val="21"/>
              </w:rPr>
              <w:t xml:space="preserve">any </w:t>
            </w:r>
            <w:r w:rsidRPr="00DC000B">
              <w:rPr>
                <w:szCs w:val="21"/>
              </w:rPr>
              <w:t>dynamic or semi-static events.</w:t>
            </w:r>
          </w:p>
          <w:p w14:paraId="31FE16C6" w14:textId="1B66F65C" w:rsidR="00E33AEA" w:rsidRPr="00E33AEA" w:rsidRDefault="00E33AEA" w:rsidP="00E33AEA">
            <w:pPr>
              <w:pStyle w:val="ListParagraph"/>
              <w:numPr>
                <w:ilvl w:val="0"/>
                <w:numId w:val="42"/>
              </w:numPr>
              <w:autoSpaceDE w:val="0"/>
              <w:autoSpaceDN w:val="0"/>
              <w:adjustRightInd w:val="0"/>
              <w:snapToGrid w:val="0"/>
              <w:spacing w:before="156" w:after="200" w:line="276" w:lineRule="auto"/>
              <w:jc w:val="both"/>
              <w:rPr>
                <w:szCs w:val="21"/>
              </w:rPr>
            </w:pPr>
            <w:r>
              <w:rPr>
                <w:szCs w:val="21"/>
              </w:rPr>
              <w:t>How to define the UE capability is discussed in UE feature session.</w:t>
            </w:r>
          </w:p>
        </w:tc>
      </w:tr>
    </w:tbl>
    <w:p w14:paraId="25CF82E8" w14:textId="507D31F4" w:rsidR="00E33AEA" w:rsidRDefault="00E33AEA" w:rsidP="00813432">
      <w:pPr>
        <w:spacing w:before="120" w:after="120" w:line="276" w:lineRule="auto"/>
        <w:jc w:val="both"/>
        <w:rPr>
          <w:lang w:val="en-US"/>
        </w:rPr>
      </w:pPr>
      <w:r>
        <w:rPr>
          <w:lang w:val="en-US"/>
        </w:rPr>
        <w:t xml:space="preserve">This proposal defines three different UE capabilities for restarting of DMRS bundling after a semi-static event, based on different conditions. In particular, UE Cap 0 states that a UE is not able to restart DMRS bundling after a dynamic event, even if a semi-static event occurs after it but within the same nominal TDW. The rationale behind this capability </w:t>
      </w:r>
      <w:r w:rsidR="000B059C">
        <w:rPr>
          <w:lang w:val="en-US"/>
        </w:rPr>
        <w:t>is however not yet fully clear to us</w:t>
      </w:r>
      <w:r w:rsidR="00CA40F0">
        <w:rPr>
          <w:lang w:val="en-US"/>
        </w:rPr>
        <w:t xml:space="preserve">. After all, the operations that the UE should do to restart DMRS bundling after semi-static require a certain planning, which is the core reason of the differentiation between semi-static events (by-product of higher-layer signaling and known well in advance) and dynamic events (by-product of dynamic signaling and hence not always predictable). In this context, </w:t>
      </w:r>
      <w:r w:rsidR="00CA40F0">
        <w:rPr>
          <w:lang w:val="en-US"/>
        </w:rPr>
        <w:t>once a UE has planned for restarting DMRS bundling after a semi-static event, the occurrence of a dynamic event prior to</w:t>
      </w:r>
      <w:r w:rsidR="00CA40F0">
        <w:rPr>
          <w:lang w:val="en-US"/>
        </w:rPr>
        <w:t>, or overlapping with,</w:t>
      </w:r>
      <w:r w:rsidR="00CA40F0">
        <w:rPr>
          <w:lang w:val="en-US"/>
        </w:rPr>
        <w:t xml:space="preserve"> that should be independent and not impact the restarting after the semi-static event.</w:t>
      </w:r>
      <w:r w:rsidR="00CA40F0">
        <w:rPr>
          <w:lang w:val="en-US"/>
        </w:rPr>
        <w:t xml:space="preserve"> If this were not the case, then the differentiation between semi-static and dynamic events would not be needed.</w:t>
      </w:r>
    </w:p>
    <w:p w14:paraId="7D4FA8BF" w14:textId="11CC3BE2" w:rsidR="004038D6" w:rsidRPr="00FF3F81" w:rsidRDefault="000B059C" w:rsidP="000B059C">
      <w:pPr>
        <w:spacing w:before="120" w:after="120" w:line="276" w:lineRule="auto"/>
        <w:jc w:val="both"/>
        <w:rPr>
          <w:lang w:val="en-US"/>
        </w:rPr>
      </w:pPr>
      <w:r>
        <w:rPr>
          <w:lang w:val="en-US"/>
        </w:rPr>
        <w:lastRenderedPageBreak/>
        <w:t xml:space="preserve">For this reason, only </w:t>
      </w:r>
      <w:r w:rsidR="00CA40F0">
        <w:rPr>
          <w:lang w:val="en-US"/>
        </w:rPr>
        <w:t xml:space="preserve">the spirit of </w:t>
      </w:r>
      <w:r>
        <w:rPr>
          <w:lang w:val="en-US"/>
        </w:rPr>
        <w:t>UE Cap 1 and UE Cap 2</w:t>
      </w:r>
      <w:r w:rsidR="00CA40F0">
        <w:rPr>
          <w:lang w:val="en-US"/>
        </w:rPr>
        <w:t xml:space="preserve"> is aligned with the rationale of differentiating between semi-static and dynamic event, and also </w:t>
      </w:r>
      <w:r>
        <w:rPr>
          <w:lang w:val="en-US"/>
        </w:rPr>
        <w:t xml:space="preserve">fully in line with the current specification text. </w:t>
      </w:r>
      <w:r w:rsidR="00CA40F0">
        <w:rPr>
          <w:lang w:val="en-US"/>
        </w:rPr>
        <w:t>Indeed, f</w:t>
      </w:r>
      <w:r w:rsidR="00BA0918">
        <w:rPr>
          <w:lang w:val="en-US"/>
        </w:rPr>
        <w:t xml:space="preserve">or the cases in which </w:t>
      </w:r>
      <w:r w:rsidR="00AB7FFC" w:rsidRPr="00E62898">
        <w:rPr>
          <w:lang w:val="en-US"/>
        </w:rPr>
        <w:t>PUCCH-Window-Restart</w:t>
      </w:r>
      <w:r w:rsidR="00AB7FFC">
        <w:rPr>
          <w:lang w:val="en-US"/>
        </w:rPr>
        <w:t xml:space="preserve"> or </w:t>
      </w:r>
      <w:r w:rsidR="00AB7FFC" w:rsidRPr="00E62898">
        <w:rPr>
          <w:lang w:val="en-US"/>
        </w:rPr>
        <w:t>PU</w:t>
      </w:r>
      <w:r w:rsidR="00AB7FFC">
        <w:rPr>
          <w:lang w:val="en-US"/>
        </w:rPr>
        <w:t>S</w:t>
      </w:r>
      <w:r w:rsidR="00AB7FFC" w:rsidRPr="00E62898">
        <w:rPr>
          <w:lang w:val="en-US"/>
        </w:rPr>
        <w:t>CH-Window-Restart</w:t>
      </w:r>
      <w:r w:rsidR="00AB7FFC">
        <w:rPr>
          <w:lang w:val="en-US"/>
        </w:rPr>
        <w:t xml:space="preserve"> </w:t>
      </w:r>
      <w:r w:rsidR="00BA0918">
        <w:rPr>
          <w:lang w:val="en-US"/>
        </w:rPr>
        <w:t xml:space="preserve">is not enabled, </w:t>
      </w:r>
      <w:r w:rsidR="004038D6">
        <w:rPr>
          <w:lang w:val="en-US"/>
        </w:rPr>
        <w:t>UE behavior in case a semi-static event happens</w:t>
      </w:r>
      <w:r w:rsidR="00AB7FFC">
        <w:rPr>
          <w:lang w:val="en-US"/>
        </w:rPr>
        <w:t xml:space="preserve"> </w:t>
      </w:r>
      <w:r>
        <w:rPr>
          <w:lang w:val="en-US"/>
        </w:rPr>
        <w:t>is</w:t>
      </w:r>
      <w:r w:rsidR="004038D6">
        <w:rPr>
          <w:lang w:val="en-US"/>
        </w:rPr>
        <w:t xml:space="preserve"> well described in </w:t>
      </w:r>
      <w:r w:rsidR="004038D6" w:rsidRPr="00FF3F81">
        <w:rPr>
          <w:lang w:val="en-US"/>
        </w:rPr>
        <w:t xml:space="preserve">Clause 6.1.7 of TS 38.214, as quoted below. Therefore, </w:t>
      </w:r>
      <w:r w:rsidR="004038D6">
        <w:rPr>
          <w:lang w:val="en-US"/>
        </w:rPr>
        <w:t xml:space="preserve">even if the semi-static </w:t>
      </w:r>
      <w:r w:rsidR="009726CD">
        <w:rPr>
          <w:lang w:val="en-US"/>
        </w:rPr>
        <w:t xml:space="preserve">event </w:t>
      </w:r>
      <w:r w:rsidR="004038D6">
        <w:rPr>
          <w:lang w:val="en-US"/>
        </w:rPr>
        <w:t>occurs after or overlaps with a dynamic event, UE shall create a new actual TDW after the semi-static event</w:t>
      </w:r>
      <w:r w:rsidR="00BA0918">
        <w:rPr>
          <w:lang w:val="en-US"/>
        </w:rPr>
        <w:t xml:space="preserve">, </w:t>
      </w:r>
      <w:r>
        <w:rPr>
          <w:lang w:val="en-US"/>
        </w:rPr>
        <w:t>based on above UE Cap 1</w:t>
      </w:r>
      <w:r w:rsidR="004038D6">
        <w:rPr>
          <w:lang w:val="en-US"/>
        </w:rPr>
        <w:t>.</w:t>
      </w:r>
      <w:r w:rsidR="004038D6" w:rsidRPr="00FF3F81">
        <w:rPr>
          <w:lang w:val="en-US"/>
        </w:rPr>
        <w:t xml:space="preserve"> </w:t>
      </w:r>
      <w:r w:rsidR="004038D6">
        <w:rPr>
          <w:lang w:val="en-US"/>
        </w:rPr>
        <w:t>No s</w:t>
      </w:r>
      <w:r w:rsidR="004038D6" w:rsidRPr="00FF3F81">
        <w:rPr>
          <w:lang w:val="en-US"/>
        </w:rPr>
        <w:t>pecification change is needed</w:t>
      </w:r>
      <w:r w:rsidR="00BA0918">
        <w:rPr>
          <w:lang w:val="en-US"/>
        </w:rPr>
        <w:t xml:space="preserve"> to account for this behavior</w:t>
      </w:r>
      <w:r w:rsidR="004038D6" w:rsidRPr="00FF3F81">
        <w:rPr>
          <w:lang w:val="en-US"/>
        </w:rPr>
        <w:t>.</w:t>
      </w:r>
    </w:p>
    <w:tbl>
      <w:tblPr>
        <w:tblStyle w:val="TableGrid"/>
        <w:tblW w:w="0" w:type="auto"/>
        <w:tblLook w:val="04A0" w:firstRow="1" w:lastRow="0" w:firstColumn="1" w:lastColumn="0" w:noHBand="0" w:noVBand="1"/>
      </w:tblPr>
      <w:tblGrid>
        <w:gridCol w:w="9629"/>
      </w:tblGrid>
      <w:tr w:rsidR="004038D6" w:rsidRPr="00FF3F81" w14:paraId="1CBE2B3C" w14:textId="77777777" w:rsidTr="00805C4A">
        <w:tc>
          <w:tcPr>
            <w:tcW w:w="9629" w:type="dxa"/>
          </w:tcPr>
          <w:p w14:paraId="7409A21E" w14:textId="77777777" w:rsidR="004038D6" w:rsidRPr="00FF3F81" w:rsidRDefault="004038D6" w:rsidP="00805C4A">
            <w:pPr>
              <w:overflowPunct/>
              <w:spacing w:after="0" w:line="276" w:lineRule="auto"/>
              <w:jc w:val="both"/>
              <w:textAlignment w:val="auto"/>
              <w:rPr>
                <w:lang w:val="en-US"/>
              </w:rPr>
            </w:pPr>
            <w:r w:rsidRPr="00FF3F81">
              <w:rPr>
                <w:lang w:val="en-US"/>
              </w:rPr>
              <w:t>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w:t>
            </w:r>
          </w:p>
          <w:p w14:paraId="309D471F" w14:textId="77777777" w:rsidR="004038D6" w:rsidRPr="00FF3F81" w:rsidRDefault="004038D6" w:rsidP="00805C4A">
            <w:pPr>
              <w:overflowPunct/>
              <w:spacing w:after="0" w:line="276" w:lineRule="auto"/>
              <w:jc w:val="both"/>
              <w:textAlignment w:val="auto"/>
              <w:rPr>
                <w:lang w:val="en-US"/>
              </w:rPr>
            </w:pPr>
            <w:r w:rsidRPr="00FF3F81">
              <w:rPr>
                <w:lang w:val="en-US"/>
              </w:rPr>
              <w:t>repetition, in case the actual TDW is created in response to frequency hopping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tc>
      </w:tr>
    </w:tbl>
    <w:p w14:paraId="2FA3C15C" w14:textId="468D4E66" w:rsidR="004038D6" w:rsidRPr="004038D6" w:rsidRDefault="004038D6" w:rsidP="00813432">
      <w:pPr>
        <w:spacing w:before="120" w:after="120" w:line="276" w:lineRule="auto"/>
        <w:contextualSpacing/>
        <w:jc w:val="both"/>
      </w:pPr>
    </w:p>
    <w:p w14:paraId="11FC515B" w14:textId="132B142E" w:rsidR="00A222AB" w:rsidRPr="00FF3F81" w:rsidRDefault="001D0C14" w:rsidP="00681EF4">
      <w:pPr>
        <w:spacing w:before="120" w:after="120"/>
        <w:rPr>
          <w:lang w:val="en-US"/>
        </w:rPr>
      </w:pPr>
      <w:r w:rsidRPr="00FF3F81">
        <w:rPr>
          <w:lang w:val="en-US"/>
        </w:rPr>
        <w:t>From the above observation</w:t>
      </w:r>
      <w:r w:rsidR="00D25E0A" w:rsidRPr="00FF3F81">
        <w:rPr>
          <w:lang w:val="en-US"/>
        </w:rPr>
        <w:t>s</w:t>
      </w:r>
      <w:r w:rsidRPr="00FF3F81">
        <w:rPr>
          <w:lang w:val="en-US"/>
        </w:rPr>
        <w:t xml:space="preserve">, </w:t>
      </w:r>
      <w:r w:rsidR="0094163E">
        <w:rPr>
          <w:lang w:val="en-US"/>
        </w:rPr>
        <w:t>we propose the following:</w:t>
      </w:r>
    </w:p>
    <w:p w14:paraId="125027DE" w14:textId="5580CF5B" w:rsidR="00D25E0A" w:rsidRPr="00FF3F81" w:rsidRDefault="004054EA" w:rsidP="004054EA">
      <w:pPr>
        <w:pStyle w:val="Caption"/>
        <w:rPr>
          <w:lang w:val="en-US"/>
        </w:rPr>
      </w:pPr>
      <w:bookmarkStart w:id="5" w:name="_Toc95158548"/>
      <w:bookmarkStart w:id="6" w:name="_Ref101448155"/>
      <w:r>
        <w:t xml:space="preserve">Proposal </w:t>
      </w:r>
      <w:r>
        <w:fldChar w:fldCharType="begin"/>
      </w:r>
      <w:r>
        <w:instrText xml:space="preserve"> SEQ Proposal \* ARABIC </w:instrText>
      </w:r>
      <w:r>
        <w:fldChar w:fldCharType="separate"/>
      </w:r>
      <w:r w:rsidR="00A84314">
        <w:rPr>
          <w:noProof/>
        </w:rPr>
        <w:t>3</w:t>
      </w:r>
      <w:r>
        <w:fldChar w:fldCharType="end"/>
      </w:r>
      <w:r>
        <w:t xml:space="preserve">. </w:t>
      </w:r>
      <w:r w:rsidR="00D25E0A" w:rsidRPr="00FF3F81">
        <w:rPr>
          <w:lang w:val="en-US"/>
        </w:rPr>
        <w:t>For UE not capable of restarting DM-RS bundling in response to dynamic events,</w:t>
      </w:r>
      <w:bookmarkEnd w:id="5"/>
      <w:bookmarkEnd w:id="6"/>
    </w:p>
    <w:p w14:paraId="28162E4A" w14:textId="77777777" w:rsidR="00D25E0A" w:rsidRPr="00FF3F81" w:rsidRDefault="00D25E0A" w:rsidP="00005D98">
      <w:pPr>
        <w:pStyle w:val="Caption"/>
        <w:numPr>
          <w:ilvl w:val="0"/>
          <w:numId w:val="28"/>
        </w:numPr>
        <w:jc w:val="both"/>
        <w:rPr>
          <w:lang w:val="en-US"/>
        </w:rPr>
      </w:pPr>
      <w:r w:rsidRPr="00FF3F81">
        <w:rPr>
          <w:lang w:val="en-US"/>
        </w:rPr>
        <w:t>If a semi-static event is triggered after one or multiple dynamic events, a new actual TDW is created after the semi-static event.</w:t>
      </w:r>
    </w:p>
    <w:p w14:paraId="75FAA106" w14:textId="77777777" w:rsidR="00D25E0A" w:rsidRPr="00FF3F81" w:rsidRDefault="00D25E0A" w:rsidP="00005D98">
      <w:pPr>
        <w:pStyle w:val="Caption"/>
        <w:numPr>
          <w:ilvl w:val="0"/>
          <w:numId w:val="28"/>
        </w:numPr>
        <w:jc w:val="both"/>
        <w:rPr>
          <w:lang w:val="en-US"/>
        </w:rPr>
      </w:pPr>
      <w:r w:rsidRPr="00FF3F81">
        <w:rPr>
          <w:lang w:val="en-US"/>
        </w:rPr>
        <w:t>If a semi-static event overlaps with a dynamic event, a new actual TDW is created after the semi-static event.</w:t>
      </w:r>
    </w:p>
    <w:p w14:paraId="1908761E" w14:textId="6251BA1A" w:rsidR="00FE1622" w:rsidRDefault="00D25E0A" w:rsidP="0094163E">
      <w:pPr>
        <w:pStyle w:val="Caption"/>
        <w:jc w:val="both"/>
        <w:rPr>
          <w:lang w:val="en-US"/>
        </w:rPr>
      </w:pPr>
      <w:r w:rsidRPr="00FF3F81">
        <w:rPr>
          <w:lang w:val="en-US"/>
        </w:rPr>
        <w:t>Note: No specification impact is expected.</w:t>
      </w:r>
    </w:p>
    <w:p w14:paraId="745D6E81" w14:textId="77777777" w:rsidR="0039057E" w:rsidRPr="0039057E" w:rsidRDefault="0039057E" w:rsidP="0039057E">
      <w:pPr>
        <w:rPr>
          <w:lang w:val="en-US"/>
        </w:rPr>
      </w:pPr>
    </w:p>
    <w:p w14:paraId="6BB0651F" w14:textId="26F2D3DD" w:rsidR="00F920C5" w:rsidRPr="00FF3F81" w:rsidRDefault="003D2A77" w:rsidP="00F920C5">
      <w:pPr>
        <w:pStyle w:val="Heading2"/>
        <w:rPr>
          <w:lang w:val="en-US"/>
        </w:rPr>
      </w:pPr>
      <w:r w:rsidRPr="00FF3F81">
        <w:rPr>
          <w:lang w:val="en-US"/>
        </w:rPr>
        <w:t>TPC command handling</w:t>
      </w:r>
    </w:p>
    <w:p w14:paraId="56140B06" w14:textId="05D6F45A" w:rsidR="00F920C5" w:rsidRPr="00FF3F81" w:rsidRDefault="00521E52" w:rsidP="004B30AE">
      <w:pPr>
        <w:spacing w:line="276" w:lineRule="auto"/>
        <w:rPr>
          <w:lang w:val="en-US"/>
        </w:rPr>
      </w:pPr>
      <w:r w:rsidRPr="00521E52">
        <w:rPr>
          <w:lang w:val="en-US"/>
        </w:rPr>
        <w:t>In RAN1#10</w:t>
      </w:r>
      <w:r w:rsidR="00BE6867">
        <w:rPr>
          <w:lang w:val="en-US"/>
        </w:rPr>
        <w:t>9</w:t>
      </w:r>
      <w:r w:rsidRPr="00521E52">
        <w:rPr>
          <w:lang w:val="en-US"/>
        </w:rPr>
        <w:t xml:space="preserve">-e meeting, the following </w:t>
      </w:r>
      <w:r w:rsidR="00BE6867">
        <w:rPr>
          <w:lang w:val="en-US"/>
        </w:rPr>
        <w:t>conclusion</w:t>
      </w:r>
      <w:r w:rsidRPr="00521E52">
        <w:rPr>
          <w:lang w:val="en-US"/>
        </w:rPr>
        <w:t xml:space="preserve"> was made for the handling of TPC commands</w:t>
      </w:r>
      <w:r w:rsidR="005602E2">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20C5" w:rsidRPr="00FF3F81" w14:paraId="1939652C" w14:textId="77777777" w:rsidTr="00D04541">
        <w:tc>
          <w:tcPr>
            <w:tcW w:w="9629" w:type="dxa"/>
          </w:tcPr>
          <w:p w14:paraId="6514E70E" w14:textId="77777777" w:rsidR="005602E2" w:rsidRPr="00350A5E" w:rsidRDefault="005602E2" w:rsidP="005602E2">
            <w:pPr>
              <w:spacing w:before="156" w:after="240" w:line="276" w:lineRule="auto"/>
              <w:contextualSpacing/>
              <w:rPr>
                <w:szCs w:val="21"/>
                <w:highlight w:val="darkYellow"/>
              </w:rPr>
            </w:pPr>
            <w:r w:rsidRPr="00350A5E">
              <w:rPr>
                <w:b/>
                <w:szCs w:val="21"/>
                <w:highlight w:val="darkYellow"/>
              </w:rPr>
              <w:t>Conclusion</w:t>
            </w:r>
          </w:p>
          <w:p w14:paraId="6DF0E4F7" w14:textId="77777777" w:rsidR="005602E2" w:rsidRDefault="005602E2" w:rsidP="005602E2">
            <w:pPr>
              <w:pStyle w:val="ListParagraph"/>
              <w:numPr>
                <w:ilvl w:val="0"/>
                <w:numId w:val="44"/>
              </w:numPr>
              <w:autoSpaceDE w:val="0"/>
              <w:autoSpaceDN w:val="0"/>
              <w:adjustRightInd w:val="0"/>
              <w:snapToGrid w:val="0"/>
              <w:spacing w:before="156" w:after="240" w:line="276" w:lineRule="auto"/>
              <w:jc w:val="both"/>
              <w:rPr>
                <w:szCs w:val="21"/>
              </w:rPr>
            </w:pPr>
            <w:r>
              <w:rPr>
                <w:szCs w:val="21"/>
              </w:rPr>
              <w:t xml:space="preserve">No consensus on </w:t>
            </w:r>
            <w:r w:rsidRPr="00EB10C0">
              <w:rPr>
                <w:szCs w:val="21"/>
              </w:rPr>
              <w:t>confirming</w:t>
            </w:r>
            <w:r>
              <w:rPr>
                <w:szCs w:val="21"/>
              </w:rPr>
              <w:t xml:space="preserve"> the following working assumption in R17.</w:t>
            </w:r>
          </w:p>
          <w:p w14:paraId="4D8CD29D" w14:textId="77777777" w:rsidR="005602E2" w:rsidRDefault="005602E2" w:rsidP="005602E2">
            <w:pPr>
              <w:rPr>
                <w:b/>
                <w:szCs w:val="21"/>
                <w:highlight w:val="darkYellow"/>
              </w:rPr>
            </w:pPr>
            <w:r>
              <w:rPr>
                <w:b/>
                <w:szCs w:val="21"/>
                <w:highlight w:val="darkYellow"/>
              </w:rPr>
              <w:t>Working assumption:</w:t>
            </w:r>
          </w:p>
          <w:p w14:paraId="2E78A6AE" w14:textId="77777777" w:rsidR="005602E2" w:rsidRDefault="005602E2" w:rsidP="005602E2">
            <w:pPr>
              <w:pStyle w:val="ListParagraph"/>
              <w:numPr>
                <w:ilvl w:val="0"/>
                <w:numId w:val="31"/>
              </w:numPr>
              <w:autoSpaceDE w:val="0"/>
              <w:autoSpaceDN w:val="0"/>
              <w:adjustRightInd w:val="0"/>
              <w:snapToGrid w:val="0"/>
              <w:spacing w:after="120" w:line="259" w:lineRule="auto"/>
              <w:contextualSpacing w:val="0"/>
              <w:jc w:val="both"/>
              <w:rPr>
                <w:sz w:val="21"/>
                <w:szCs w:val="21"/>
              </w:rPr>
            </w:pPr>
            <w:r>
              <w:rPr>
                <w:sz w:val="21"/>
                <w:szCs w:val="21"/>
              </w:rPr>
              <w:t>The action of group common TPC commands with format 2_2 does not constitute an event that violates power consistency and phase continuity.</w:t>
            </w:r>
          </w:p>
          <w:p w14:paraId="659F2C4A" w14:textId="77777777" w:rsidR="005602E2" w:rsidRDefault="005602E2" w:rsidP="005602E2">
            <w:pPr>
              <w:pStyle w:val="ListParagraph"/>
              <w:numPr>
                <w:ilvl w:val="1"/>
                <w:numId w:val="32"/>
              </w:numPr>
              <w:autoSpaceDE w:val="0"/>
              <w:autoSpaceDN w:val="0"/>
              <w:adjustRightInd w:val="0"/>
              <w:snapToGrid w:val="0"/>
              <w:ind w:left="780"/>
              <w:contextualSpacing w:val="0"/>
              <w:jc w:val="both"/>
              <w:rPr>
                <w:sz w:val="21"/>
                <w:szCs w:val="21"/>
              </w:rPr>
            </w:pPr>
            <w:r>
              <w:rPr>
                <w:sz w:val="21"/>
                <w:szCs w:val="21"/>
              </w:rPr>
              <w:t xml:space="preserve">If UE is configured to </w:t>
            </w:r>
            <w:r>
              <w:rPr>
                <w:bCs/>
                <w:sz w:val="21"/>
                <w:szCs w:val="21"/>
              </w:rPr>
              <w:t>accumulate TPC commands,</w:t>
            </w:r>
          </w:p>
          <w:p w14:paraId="2672ECE0" w14:textId="77777777" w:rsidR="005602E2" w:rsidRDefault="005602E2" w:rsidP="005602E2">
            <w:pPr>
              <w:numPr>
                <w:ilvl w:val="2"/>
                <w:numId w:val="33"/>
              </w:numPr>
              <w:overflowPunct/>
              <w:snapToGrid w:val="0"/>
              <w:spacing w:after="0"/>
              <w:jc w:val="both"/>
              <w:textAlignment w:val="auto"/>
              <w:rPr>
                <w:szCs w:val="21"/>
              </w:rPr>
            </w:pPr>
            <w:r>
              <w:rPr>
                <w:szCs w:val="21"/>
              </w:rPr>
              <w:t>If UE receives TPC commands that would take into effect during a configured TDW, UE accumulates TPC commands without taking effect during the current configured TDW. TPC commands take effect after the current configured TDW.</w:t>
            </w:r>
          </w:p>
          <w:p w14:paraId="21F6069F" w14:textId="77777777" w:rsidR="005602E2" w:rsidRDefault="005602E2" w:rsidP="005602E2">
            <w:pPr>
              <w:pStyle w:val="ListParagraph"/>
              <w:numPr>
                <w:ilvl w:val="1"/>
                <w:numId w:val="32"/>
              </w:numPr>
              <w:autoSpaceDE w:val="0"/>
              <w:autoSpaceDN w:val="0"/>
              <w:adjustRightInd w:val="0"/>
              <w:snapToGrid w:val="0"/>
              <w:ind w:left="780"/>
              <w:contextualSpacing w:val="0"/>
              <w:jc w:val="both"/>
              <w:rPr>
                <w:sz w:val="21"/>
                <w:szCs w:val="21"/>
              </w:rPr>
            </w:pPr>
            <w:r>
              <w:rPr>
                <w:sz w:val="21"/>
                <w:szCs w:val="21"/>
              </w:rPr>
              <w:t>If UE is not configured to accumulate TPC commands</w:t>
            </w:r>
          </w:p>
          <w:p w14:paraId="7668D2E8" w14:textId="77777777" w:rsidR="005602E2" w:rsidRDefault="005602E2" w:rsidP="005602E2">
            <w:pPr>
              <w:numPr>
                <w:ilvl w:val="2"/>
                <w:numId w:val="33"/>
              </w:numPr>
              <w:overflowPunct/>
              <w:snapToGrid w:val="0"/>
              <w:spacing w:after="0"/>
              <w:jc w:val="both"/>
              <w:textAlignment w:val="auto"/>
              <w:rPr>
                <w:szCs w:val="21"/>
              </w:rPr>
            </w:pPr>
            <w:r>
              <w:rPr>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2E70039F" w14:textId="77777777" w:rsidR="005602E2" w:rsidRDefault="005602E2" w:rsidP="005602E2">
            <w:pPr>
              <w:numPr>
                <w:ilvl w:val="3"/>
                <w:numId w:val="33"/>
              </w:numPr>
              <w:overflowPunct/>
              <w:snapToGrid w:val="0"/>
              <w:spacing w:after="0"/>
              <w:jc w:val="both"/>
              <w:textAlignment w:val="auto"/>
              <w:rPr>
                <w:szCs w:val="21"/>
              </w:rPr>
            </w:pPr>
            <w:r>
              <w:rPr>
                <w:szCs w:val="21"/>
              </w:rPr>
              <w:t>FFS: no more than 1 TPC command is expected to take effect during a configured TDW.</w:t>
            </w:r>
          </w:p>
          <w:p w14:paraId="4EC5E6F0" w14:textId="729ECB94" w:rsidR="00F920C5" w:rsidRPr="005602E2" w:rsidRDefault="00F920C5" w:rsidP="003D2A77">
            <w:pPr>
              <w:spacing w:before="120" w:after="120" w:line="276" w:lineRule="auto"/>
              <w:contextualSpacing/>
              <w:rPr>
                <w:rFonts w:ascii="Arial" w:hAnsi="Arial" w:cs="Arial"/>
                <w:lang w:eastAsia="ko-KR"/>
              </w:rPr>
            </w:pPr>
          </w:p>
        </w:tc>
      </w:tr>
    </w:tbl>
    <w:p w14:paraId="2952FCA9" w14:textId="577A0AE1" w:rsidR="005602E2" w:rsidRDefault="005602E2" w:rsidP="00521E52">
      <w:pPr>
        <w:spacing w:before="120" w:after="120" w:line="276" w:lineRule="auto"/>
        <w:jc w:val="both"/>
        <w:rPr>
          <w:lang w:val="en-US"/>
        </w:rPr>
      </w:pPr>
      <w:r>
        <w:rPr>
          <w:lang w:val="en-US"/>
        </w:rPr>
        <w:t xml:space="preserve">This conclusion leaves RAN1 with two main alternatives, so called Alt.2 and Alt.3 in </w:t>
      </w:r>
      <w:r>
        <w:rPr>
          <w:lang w:val="en-US"/>
        </w:rPr>
        <w:fldChar w:fldCharType="begin"/>
      </w:r>
      <w:r>
        <w:rPr>
          <w:lang w:val="en-US"/>
        </w:rPr>
        <w:instrText xml:space="preserve"> REF _Ref109725934 \n \h </w:instrText>
      </w:r>
      <w:r>
        <w:rPr>
          <w:lang w:val="en-US"/>
        </w:rPr>
      </w:r>
      <w:r>
        <w:rPr>
          <w:lang w:val="en-US"/>
        </w:rPr>
        <w:fldChar w:fldCharType="separate"/>
      </w:r>
      <w:r w:rsidR="00F170DE">
        <w:rPr>
          <w:lang w:val="en-US"/>
        </w:rPr>
        <w:t>[2]</w:t>
      </w:r>
      <w:r>
        <w:rPr>
          <w:lang w:val="en-US"/>
        </w:rPr>
        <w:fldChar w:fldCharType="end"/>
      </w:r>
      <w:r>
        <w:rPr>
          <w:lang w:val="en-US"/>
        </w:rPr>
        <w:t>, for completion of the feature:</w:t>
      </w:r>
    </w:p>
    <w:p w14:paraId="4B593A39" w14:textId="0C7075D2" w:rsidR="005602E2" w:rsidRDefault="005602E2" w:rsidP="005602E2">
      <w:pPr>
        <w:pStyle w:val="ListParagraph"/>
        <w:numPr>
          <w:ilvl w:val="0"/>
          <w:numId w:val="45"/>
        </w:numPr>
        <w:spacing w:before="120" w:after="120" w:line="276" w:lineRule="auto"/>
        <w:jc w:val="both"/>
      </w:pPr>
      <w:r>
        <w:t>Alt. 2: The action of group common TPC commands with format 2_2 indicating non-zero power change is regarded as an event.</w:t>
      </w:r>
    </w:p>
    <w:p w14:paraId="4CA2B349" w14:textId="4F2A689D" w:rsidR="005602E2" w:rsidRPr="005602E2" w:rsidRDefault="005602E2" w:rsidP="005602E2">
      <w:pPr>
        <w:pStyle w:val="ListParagraph"/>
        <w:numPr>
          <w:ilvl w:val="0"/>
          <w:numId w:val="45"/>
        </w:numPr>
        <w:spacing w:before="120" w:after="120" w:line="276" w:lineRule="auto"/>
        <w:jc w:val="both"/>
        <w:rPr>
          <w:lang w:val="en-GB"/>
        </w:rPr>
      </w:pPr>
      <w:r>
        <w:t>Alt. 3: UE does not expect to receive group common TPC commands with format 2_2 that would take effect during the actual TDWs.</w:t>
      </w:r>
    </w:p>
    <w:p w14:paraId="47CA6097" w14:textId="5CADE7C9" w:rsidR="005602E2" w:rsidRDefault="005602E2" w:rsidP="00521E52">
      <w:pPr>
        <w:spacing w:before="120" w:after="120" w:line="276" w:lineRule="auto"/>
        <w:jc w:val="both"/>
        <w:rPr>
          <w:lang w:val="en-US"/>
        </w:rPr>
      </w:pPr>
      <w:r>
        <w:rPr>
          <w:lang w:val="en-US"/>
        </w:rPr>
        <w:lastRenderedPageBreak/>
        <w:t xml:space="preserve">In our view, Alt.3 </w:t>
      </w:r>
      <w:r w:rsidR="00922A7F">
        <w:rPr>
          <w:lang w:val="en-US"/>
        </w:rPr>
        <w:t xml:space="preserve">as is, </w:t>
      </w:r>
      <w:r>
        <w:rPr>
          <w:lang w:val="en-US"/>
        </w:rPr>
        <w:t xml:space="preserve">adds an unjustified burden to scheduling flexibility, since a gNB would now have to avoid scheduling of group common TPC commands with format 2_2 </w:t>
      </w:r>
      <w:r w:rsidR="00C258D8">
        <w:rPr>
          <w:lang w:val="en-US"/>
        </w:rPr>
        <w:t xml:space="preserve">for a group of UEs </w:t>
      </w:r>
      <w:r w:rsidR="00922A7F">
        <w:rPr>
          <w:lang w:val="en-US"/>
        </w:rPr>
        <w:t xml:space="preserve">even if it falls within </w:t>
      </w:r>
      <w:r>
        <w:rPr>
          <w:lang w:val="en-US"/>
        </w:rPr>
        <w:t>the actual TDWs</w:t>
      </w:r>
      <w:r w:rsidR="00922A7F">
        <w:rPr>
          <w:lang w:val="en-US"/>
        </w:rPr>
        <w:t xml:space="preserve"> of only one single UE</w:t>
      </w:r>
      <w:r>
        <w:rPr>
          <w:lang w:val="en-US"/>
        </w:rPr>
        <w:t xml:space="preserve">. </w:t>
      </w:r>
      <w:r w:rsidR="00922A7F">
        <w:rPr>
          <w:lang w:val="en-US"/>
        </w:rPr>
        <w:t xml:space="preserve">Group common TPC command is indeed a cell-group command, meaning that </w:t>
      </w:r>
      <w:r w:rsidR="0039057E">
        <w:rPr>
          <w:lang w:val="en-US"/>
        </w:rPr>
        <w:t xml:space="preserve">it </w:t>
      </w:r>
      <w:r w:rsidR="00922A7F">
        <w:rPr>
          <w:lang w:val="en-US"/>
        </w:rPr>
        <w:t xml:space="preserve">is not UE specific but rather it targets multiple UEs in a cell (or better group of cells). For this reason, we believe it makes sense to rephrase Alt. 3 to clearly state that </w:t>
      </w:r>
      <w:r w:rsidR="0039057E">
        <w:rPr>
          <w:lang w:val="en-US"/>
        </w:rPr>
        <w:t xml:space="preserve">even though </w:t>
      </w:r>
      <w:r w:rsidR="00922A7F">
        <w:rPr>
          <w:lang w:val="en-US"/>
        </w:rPr>
        <w:t>a UE may still receive a group common TPC command that would take effect within an actual TDW, a UE shall ignore such command and maintain phase and power consistency.</w:t>
      </w:r>
      <w:r w:rsidR="002572B3">
        <w:rPr>
          <w:lang w:val="en-US"/>
        </w:rPr>
        <w:t xml:space="preserve"> This way a gNB may still instruct other non-bundling UEs to increase or decrease their transmission power, while not interrupting the bundling of the UE performing joint channel estimation.</w:t>
      </w:r>
      <w:r w:rsidR="00900C39">
        <w:rPr>
          <w:lang w:val="en-US"/>
        </w:rPr>
        <w:t xml:space="preserve"> </w:t>
      </w:r>
      <w:r w:rsidR="0039057E">
        <w:rPr>
          <w:lang w:val="en-US"/>
        </w:rPr>
        <w:t xml:space="preserve">This seems more reasonable than any of the two alternatives above since it accounts both for UE’s and for gNB’s constraints. </w:t>
      </w:r>
      <w:r w:rsidR="00900C39">
        <w:rPr>
          <w:lang w:val="en-US"/>
        </w:rPr>
        <w:t xml:space="preserve">Modifications to the specification text to account for this behavior are proposed in the companion draft CRs </w:t>
      </w:r>
      <w:r w:rsidR="0039057E">
        <w:rPr>
          <w:lang w:val="en-US"/>
        </w:rPr>
        <w:t>R1-2207103 and R1-2207104</w:t>
      </w:r>
      <w:r w:rsidR="00900C39">
        <w:rPr>
          <w:lang w:val="en-US"/>
        </w:rPr>
        <w:t>, for PU</w:t>
      </w:r>
      <w:r w:rsidR="0039057E">
        <w:rPr>
          <w:lang w:val="en-US"/>
        </w:rPr>
        <w:t>C</w:t>
      </w:r>
      <w:r w:rsidR="00900C39">
        <w:rPr>
          <w:lang w:val="en-US"/>
        </w:rPr>
        <w:t>CH and PU</w:t>
      </w:r>
      <w:r w:rsidR="0039057E">
        <w:rPr>
          <w:lang w:val="en-US"/>
        </w:rPr>
        <w:t>S</w:t>
      </w:r>
      <w:r w:rsidR="00900C39">
        <w:rPr>
          <w:lang w:val="en-US"/>
        </w:rPr>
        <w:t>CH power control adjustment state, respectively.</w:t>
      </w:r>
    </w:p>
    <w:p w14:paraId="76981A5A" w14:textId="7DA2B5DB" w:rsidR="009E6D3C" w:rsidRPr="00FB54C3" w:rsidRDefault="00A84314" w:rsidP="00A84314">
      <w:pPr>
        <w:pStyle w:val="Caption"/>
        <w:rPr>
          <w:b w:val="0"/>
          <w:bCs/>
          <w:lang w:val="en-US"/>
        </w:rPr>
      </w:pPr>
      <w:r>
        <w:t xml:space="preserve">Proposal </w:t>
      </w:r>
      <w:r>
        <w:fldChar w:fldCharType="begin"/>
      </w:r>
      <w:r>
        <w:instrText xml:space="preserve"> SEQ Proposal \* ARABIC </w:instrText>
      </w:r>
      <w:r>
        <w:fldChar w:fldCharType="separate"/>
      </w:r>
      <w:r>
        <w:rPr>
          <w:noProof/>
        </w:rPr>
        <w:t>4</w:t>
      </w:r>
      <w:r>
        <w:fldChar w:fldCharType="end"/>
      </w:r>
      <w:r>
        <w:t xml:space="preserve">. </w:t>
      </w:r>
      <w:r w:rsidR="00FB54C3" w:rsidRPr="00FB54C3">
        <w:rPr>
          <w:bCs/>
          <w:lang w:val="en-US"/>
        </w:rPr>
        <w:t>Modify the text of Alt. 3 and agree to the following Alt. 3a:</w:t>
      </w:r>
    </w:p>
    <w:p w14:paraId="2E70ED1A" w14:textId="3F653CC1" w:rsidR="00BA1D9A" w:rsidRDefault="00FB54C3" w:rsidP="00FB54C3">
      <w:pPr>
        <w:spacing w:before="120" w:after="120" w:line="276" w:lineRule="auto"/>
        <w:jc w:val="both"/>
        <w:rPr>
          <w:b/>
          <w:bCs/>
        </w:rPr>
      </w:pPr>
      <w:r w:rsidRPr="00FB54C3">
        <w:rPr>
          <w:b/>
          <w:bCs/>
          <w:lang w:val="en-US"/>
        </w:rPr>
        <w:t xml:space="preserve">Alt. 3a: </w:t>
      </w:r>
      <w:r w:rsidRPr="00FB54C3">
        <w:rPr>
          <w:b/>
          <w:bCs/>
        </w:rPr>
        <w:t>UE ignore</w:t>
      </w:r>
      <w:r w:rsidR="00206D66">
        <w:rPr>
          <w:b/>
          <w:bCs/>
        </w:rPr>
        <w:t>s</w:t>
      </w:r>
      <w:r w:rsidRPr="00FB54C3">
        <w:rPr>
          <w:b/>
          <w:bCs/>
        </w:rPr>
        <w:t xml:space="preserve"> group common TPC commands with format 2_2 that would take effect during the actual TDWs</w:t>
      </w:r>
      <w:r w:rsidR="00806A4F">
        <w:rPr>
          <w:b/>
          <w:bCs/>
        </w:rPr>
        <w:t>.</w:t>
      </w:r>
    </w:p>
    <w:p w14:paraId="29D8958D" w14:textId="77777777" w:rsidR="0039057E" w:rsidRDefault="0039057E" w:rsidP="00FB54C3">
      <w:pPr>
        <w:spacing w:before="120" w:after="120" w:line="276" w:lineRule="auto"/>
        <w:jc w:val="both"/>
        <w:rPr>
          <w:b/>
          <w:bCs/>
        </w:rPr>
      </w:pPr>
    </w:p>
    <w:p w14:paraId="4C8F9CBF" w14:textId="1AE96DBB" w:rsidR="001B1EC0" w:rsidRPr="001B1EC0" w:rsidRDefault="00375BFE" w:rsidP="001B1EC0">
      <w:pPr>
        <w:pStyle w:val="Heading2"/>
        <w:rPr>
          <w:lang w:val="en-US"/>
        </w:rPr>
      </w:pPr>
      <w:r>
        <w:rPr>
          <w:lang w:val="en-US"/>
        </w:rPr>
        <w:t>m-TRPs</w:t>
      </w:r>
      <w:r w:rsidR="00C73B6A">
        <w:rPr>
          <w:lang w:val="en-US"/>
        </w:rPr>
        <w:t xml:space="preserve"> mapping with DMRS bundling</w:t>
      </w:r>
    </w:p>
    <w:p w14:paraId="0D86A52E" w14:textId="7CFCD26B" w:rsidR="009A26DF" w:rsidRDefault="009A26DF" w:rsidP="000C1B80">
      <w:pPr>
        <w:spacing w:before="120" w:after="120" w:line="276" w:lineRule="auto"/>
        <w:jc w:val="both"/>
      </w:pPr>
      <w:r>
        <w:t>Rel-17 work item for m-TRP introduces the possibility of transmitting different PUSCH repetitions</w:t>
      </w:r>
      <w:r w:rsidR="00CA3F6F">
        <w:t xml:space="preserve"> or PUCCH repetitions</w:t>
      </w:r>
      <w:r>
        <w:t xml:space="preserve"> towards different TRPs. This is supported by configuring two SRS resource sets</w:t>
      </w:r>
      <w:r w:rsidR="000C1B80">
        <w:t xml:space="preserve"> </w:t>
      </w:r>
      <w:r w:rsidR="00CA3F6F">
        <w:t>(for PUSCH repetitions) or two spatial settings or two power control parameters sets (for PUCCH repetitions) associated with two TRPs</w:t>
      </w:r>
      <w:r>
        <w:t>, and repetitions towards each TRP follow the SRS resource set</w:t>
      </w:r>
      <w:r w:rsidR="00CA3F6F">
        <w:t xml:space="preserve"> or spatial setting or power control parameter sets</w:t>
      </w:r>
      <w:r>
        <w:t xml:space="preserve"> associated with that TRP.   </w:t>
      </w:r>
    </w:p>
    <w:p w14:paraId="017B8FB6" w14:textId="3F08ED8A" w:rsidR="009A26DF" w:rsidRDefault="009A26DF" w:rsidP="000C1B80">
      <w:pPr>
        <w:spacing w:before="120" w:after="120" w:line="276" w:lineRule="auto"/>
        <w:jc w:val="both"/>
      </w:pPr>
      <w:r>
        <w:t xml:space="preserve">Since the Rel-17 work items for m-TRP and coverage enhancements have been </w:t>
      </w:r>
      <w:r w:rsidR="0039057E">
        <w:t xml:space="preserve">carried out </w:t>
      </w:r>
      <w:r>
        <w:t xml:space="preserve">in parallel, currently, Section 6.1.2.1 of TS 38.214 </w:t>
      </w:r>
      <w:r w:rsidR="0044057E">
        <w:t xml:space="preserve">and Section 9.2.6 of TS 38.213 </w:t>
      </w:r>
      <w:r>
        <w:t>only specif</w:t>
      </w:r>
      <w:r w:rsidR="0039057E">
        <w:t>y</w:t>
      </w:r>
      <w:r>
        <w:t xml:space="preserve"> the mapping between SRS resource sets and PUSCH repetitions</w:t>
      </w:r>
      <w:r w:rsidR="0044057E">
        <w:t xml:space="preserve"> and the mapping between spatial settings/power control parameters sets and PUCCH repetitions</w:t>
      </w:r>
      <w:r>
        <w:t xml:space="preserve"> </w:t>
      </w:r>
      <w:r w:rsidR="000C1B80">
        <w:t xml:space="preserve">without </w:t>
      </w:r>
      <w:r w:rsidRPr="000C1B80">
        <w:t>consider</w:t>
      </w:r>
      <w:r w:rsidR="000C1B80" w:rsidRPr="000C1B80">
        <w:t>ing</w:t>
      </w:r>
      <w:r w:rsidRPr="000C1B80">
        <w:t xml:space="preserve"> the new features for Rel-17 coverage enhancements</w:t>
      </w:r>
      <w:r w:rsidR="000C1B80" w:rsidRPr="000C1B80">
        <w:t>, namely</w:t>
      </w:r>
      <w:r w:rsidRPr="000C1B80">
        <w:t xml:space="preserve"> the joint channel estimation feature, which is also applicable for PUSCH repetition type A</w:t>
      </w:r>
      <w:r w:rsidR="009714E7">
        <w:t xml:space="preserve"> and PUCCH </w:t>
      </w:r>
      <w:r w:rsidR="0039057E">
        <w:t>repetition</w:t>
      </w:r>
      <w:r w:rsidRPr="000C1B80">
        <w:t>.</w:t>
      </w:r>
    </w:p>
    <w:p w14:paraId="7C44DCDB" w14:textId="77777777" w:rsidR="009A26DF" w:rsidRDefault="009A26DF" w:rsidP="000C1B80">
      <w:pPr>
        <w:spacing w:before="120" w:after="120" w:line="276" w:lineRule="auto"/>
        <w:jc w:val="both"/>
      </w:pPr>
      <w:r>
        <w:t>An excerpt of Section 6.1.2.1 of TS 38.214 is as follows:</w:t>
      </w:r>
    </w:p>
    <w:tbl>
      <w:tblPr>
        <w:tblStyle w:val="TableGrid"/>
        <w:tblW w:w="0" w:type="auto"/>
        <w:tblLook w:val="04A0" w:firstRow="1" w:lastRow="0" w:firstColumn="1" w:lastColumn="0" w:noHBand="0" w:noVBand="1"/>
      </w:tblPr>
      <w:tblGrid>
        <w:gridCol w:w="9269"/>
      </w:tblGrid>
      <w:tr w:rsidR="009A26DF" w14:paraId="1584261E" w14:textId="77777777" w:rsidTr="000C1B80">
        <w:tc>
          <w:tcPr>
            <w:tcW w:w="9269" w:type="dxa"/>
          </w:tcPr>
          <w:p w14:paraId="78D9B00C" w14:textId="77777777" w:rsidR="009A26DF" w:rsidRPr="00866001" w:rsidRDefault="009A26DF" w:rsidP="00626128">
            <w:pPr>
              <w:spacing w:before="240"/>
            </w:pPr>
            <w:r w:rsidRPr="00866001">
              <w:rPr>
                <w:color w:val="000000"/>
                <w:highlight w:val="yellow"/>
              </w:rPr>
              <w:t xml:space="preserve">When two SRS resource sets are configured in </w:t>
            </w:r>
            <w:r w:rsidRPr="00866001">
              <w:rPr>
                <w:i/>
                <w:color w:val="000000"/>
                <w:highlight w:val="yellow"/>
              </w:rPr>
              <w:t>srs-ResourceSetToAddModList</w:t>
            </w:r>
            <w:r w:rsidRPr="00866001">
              <w:rPr>
                <w:color w:val="000000"/>
                <w:highlight w:val="yellow"/>
              </w:rPr>
              <w:t xml:space="preserve"> or </w:t>
            </w:r>
            <w:r w:rsidRPr="00866001">
              <w:rPr>
                <w:i/>
                <w:color w:val="000000"/>
                <w:highlight w:val="yellow"/>
              </w:rPr>
              <w:t xml:space="preserve">srs-ResourceSetToAddModListDCI-0-2 </w:t>
            </w:r>
            <w:r w:rsidRPr="00866001">
              <w:rPr>
                <w:color w:val="000000"/>
                <w:highlight w:val="yellow"/>
              </w:rPr>
              <w:t xml:space="preserve">with higher layer parameter </w:t>
            </w:r>
            <w:r w:rsidRPr="00866001">
              <w:rPr>
                <w:i/>
                <w:color w:val="000000"/>
                <w:highlight w:val="yellow"/>
              </w:rPr>
              <w:t xml:space="preserve">usage </w:t>
            </w:r>
            <w:r w:rsidRPr="00866001">
              <w:rPr>
                <w:color w:val="000000"/>
                <w:highlight w:val="yellow"/>
              </w:rPr>
              <w:t xml:space="preserve">in </w:t>
            </w:r>
            <w:r w:rsidRPr="00866001">
              <w:rPr>
                <w:i/>
                <w:color w:val="000000"/>
                <w:highlight w:val="yellow"/>
              </w:rPr>
              <w:t>SRS-ResourceSet</w:t>
            </w:r>
            <w:r w:rsidRPr="00866001">
              <w:rPr>
                <w:color w:val="000000"/>
                <w:highlight w:val="yellow"/>
              </w:rPr>
              <w:t xml:space="preserve"> set to 'codebook' or 'noncodebook', for PUSCH repetition Type A, in case </w:t>
            </w:r>
            <w:r w:rsidRPr="00866001">
              <w:rPr>
                <w:i/>
                <w:highlight w:val="yellow"/>
              </w:rPr>
              <w:t xml:space="preserve">K&gt;1, </w:t>
            </w:r>
            <w:r w:rsidRPr="00866001">
              <w:rPr>
                <w:highlight w:val="yellow"/>
              </w:rPr>
              <w:t xml:space="preserve">the same symbol allocation is applied across the </w:t>
            </w:r>
            <w:r w:rsidRPr="00866001">
              <w:rPr>
                <w:i/>
                <w:highlight w:val="yellow"/>
              </w:rPr>
              <w:t>K</w:t>
            </w:r>
            <w:r w:rsidRPr="00866001">
              <w:rPr>
                <w:highlight w:val="yellow"/>
              </w:rPr>
              <w:t xml:space="preserve"> consecutive slots and the PUSCH is limited to a single transmission layer. The UE shall repeat the TB across the </w:t>
            </w:r>
            <w:r w:rsidRPr="00866001">
              <w:rPr>
                <w:i/>
                <w:highlight w:val="yellow"/>
              </w:rPr>
              <w:t>K</w:t>
            </w:r>
            <w:r w:rsidRPr="00866001">
              <w:rPr>
                <w:highlight w:val="yellow"/>
              </w:rPr>
              <w:t xml:space="preserve"> consecutive slots applying the same symbol allocation in each slo</w:t>
            </w:r>
            <w:r w:rsidRPr="00866001">
              <w:t xml:space="preserve">t, and the association of the first and second SRS resource set </w:t>
            </w:r>
            <w:r w:rsidRPr="00866001">
              <w:rPr>
                <w:color w:val="000000"/>
              </w:rPr>
              <w:t xml:space="preserve">in </w:t>
            </w:r>
            <w:r w:rsidRPr="00866001">
              <w:rPr>
                <w:i/>
                <w:color w:val="000000"/>
              </w:rPr>
              <w:t>srs-ResourceSetToAddModList</w:t>
            </w:r>
            <w:r w:rsidRPr="00866001">
              <w:rPr>
                <w:color w:val="000000"/>
              </w:rPr>
              <w:t xml:space="preserve"> or </w:t>
            </w:r>
            <w:r w:rsidRPr="00866001">
              <w:rPr>
                <w:i/>
                <w:color w:val="000000"/>
              </w:rPr>
              <w:t xml:space="preserve">srs-ResourceSetToAddModListDCI-0-2 </w:t>
            </w:r>
            <w:r w:rsidRPr="00866001">
              <w:rPr>
                <w:iCs/>
                <w:color w:val="000000"/>
              </w:rPr>
              <w:t>to</w:t>
            </w:r>
            <w:r w:rsidRPr="00866001">
              <w:rPr>
                <w:i/>
                <w:color w:val="000000"/>
              </w:rPr>
              <w:t xml:space="preserve"> </w:t>
            </w:r>
            <w:r w:rsidRPr="00866001">
              <w:t>each slot is determined as follows:</w:t>
            </w:r>
          </w:p>
          <w:p w14:paraId="5243B6B7" w14:textId="77777777" w:rsidR="009A26DF" w:rsidRPr="00866001" w:rsidRDefault="009A26DF" w:rsidP="00626128">
            <w:pPr>
              <w:ind w:left="568" w:hanging="284"/>
              <w:rPr>
                <w:rFonts w:eastAsia="Batang"/>
                <w:lang w:val="x-none"/>
              </w:rPr>
            </w:pPr>
            <w:r w:rsidRPr="00866001">
              <w:rPr>
                <w:lang w:val="x-none"/>
              </w:rPr>
              <w:t>-</w:t>
            </w:r>
            <w:r w:rsidRPr="00866001">
              <w:rPr>
                <w:lang w:val="x-none"/>
              </w:rPr>
              <w:tab/>
              <w:t xml:space="preserve">if a DCI format 0_1 or DCI format 0_2 indicates codepoint "00" for the </w:t>
            </w:r>
            <w:r w:rsidRPr="00866001">
              <w:rPr>
                <w:i/>
                <w:iCs/>
                <w:lang w:val="x-none"/>
              </w:rPr>
              <w:t>SRS resource set indicator</w:t>
            </w:r>
            <w:r w:rsidRPr="00866001">
              <w:rPr>
                <w:lang w:val="x-none"/>
              </w:rPr>
              <w:t xml:space="preserve">, </w:t>
            </w:r>
            <w:bookmarkStart w:id="7" w:name="_Hlk86150244"/>
            <w:r w:rsidRPr="00866001">
              <w:rPr>
                <w:rFonts w:eastAsia="Batang"/>
                <w:lang w:val="x-none"/>
              </w:rPr>
              <w:t xml:space="preserve">the first SRS resource set is associated with all </w:t>
            </w:r>
            <w:r w:rsidRPr="00866001">
              <w:rPr>
                <w:lang w:val="x-none"/>
              </w:rPr>
              <w:t>K consecutive slots,</w:t>
            </w:r>
          </w:p>
          <w:p w14:paraId="0AC57C26" w14:textId="77777777" w:rsidR="009A26DF" w:rsidRPr="00866001" w:rsidRDefault="009A26DF" w:rsidP="00626128">
            <w:pPr>
              <w:ind w:left="568" w:hanging="284"/>
              <w:rPr>
                <w:rFonts w:eastAsia="Batang"/>
                <w:lang w:val="x-none"/>
              </w:rPr>
            </w:pPr>
            <w:r w:rsidRPr="00866001">
              <w:rPr>
                <w:lang w:val="x-none"/>
              </w:rPr>
              <w:t>-</w:t>
            </w:r>
            <w:r w:rsidRPr="00866001">
              <w:rPr>
                <w:lang w:val="x-none"/>
              </w:rPr>
              <w:tab/>
              <w:t xml:space="preserve">if a DCI format 0_1 or DCI format 0_2 indicates codepoint "01" for the </w:t>
            </w:r>
            <w:r w:rsidRPr="00866001">
              <w:rPr>
                <w:i/>
                <w:iCs/>
                <w:lang w:val="x-none"/>
              </w:rPr>
              <w:t>SRS resource set indicator</w:t>
            </w:r>
            <w:r w:rsidRPr="00866001">
              <w:rPr>
                <w:lang w:val="x-none"/>
              </w:rPr>
              <w:t xml:space="preserve">, </w:t>
            </w:r>
            <w:r w:rsidRPr="00866001">
              <w:rPr>
                <w:rFonts w:eastAsia="Batang"/>
                <w:lang w:val="x-none"/>
              </w:rPr>
              <w:t xml:space="preserve">the second SRS resource set is associated with all </w:t>
            </w:r>
            <w:r w:rsidRPr="00866001">
              <w:rPr>
                <w:lang w:val="x-none"/>
              </w:rPr>
              <w:t>K consecutive slots,</w:t>
            </w:r>
          </w:p>
          <w:p w14:paraId="55388656" w14:textId="77777777" w:rsidR="009A26DF" w:rsidRPr="00866001" w:rsidRDefault="009A26DF" w:rsidP="00626128">
            <w:pPr>
              <w:ind w:left="568" w:hanging="284"/>
              <w:rPr>
                <w:rFonts w:eastAsia="Batang"/>
                <w:lang w:val="x-none"/>
              </w:rPr>
            </w:pPr>
            <w:r w:rsidRPr="00866001">
              <w:rPr>
                <w:lang w:val="x-none"/>
              </w:rPr>
              <w:t>-</w:t>
            </w:r>
            <w:r w:rsidRPr="00866001">
              <w:rPr>
                <w:lang w:val="x-none"/>
              </w:rPr>
              <w:tab/>
            </w:r>
            <w:r w:rsidRPr="00866001">
              <w:rPr>
                <w:highlight w:val="yellow"/>
                <w:lang w:val="x-none"/>
              </w:rPr>
              <w:t xml:space="preserve">if a DCI format 0_1 or DCI format 0_2 indicates codepoint "10" for the </w:t>
            </w:r>
            <w:r w:rsidRPr="00866001">
              <w:rPr>
                <w:i/>
                <w:iCs/>
                <w:highlight w:val="yellow"/>
                <w:lang w:val="x-none"/>
              </w:rPr>
              <w:t>SRS resource set indicator</w:t>
            </w:r>
            <w:r w:rsidRPr="00866001">
              <w:rPr>
                <w:highlight w:val="yellow"/>
                <w:lang w:val="x-none"/>
              </w:rPr>
              <w:t xml:space="preserve">, </w:t>
            </w:r>
            <w:r w:rsidRPr="00866001">
              <w:rPr>
                <w:rFonts w:eastAsia="Batang"/>
                <w:highlight w:val="yellow"/>
                <w:lang w:val="x-none"/>
              </w:rPr>
              <w:t>the first and second SRS resource set association to K</w:t>
            </w:r>
            <w:r w:rsidRPr="00866001">
              <w:rPr>
                <w:highlight w:val="yellow"/>
                <w:lang w:val="x-none"/>
              </w:rPr>
              <w:t xml:space="preserve"> consecutive slots is determined as follows</w:t>
            </w:r>
            <w:r w:rsidRPr="00866001">
              <w:rPr>
                <w:lang w:val="x-none"/>
              </w:rPr>
              <w:t xml:space="preserve">: </w:t>
            </w:r>
          </w:p>
          <w:p w14:paraId="7486647C" w14:textId="77777777" w:rsidR="009A26DF" w:rsidRPr="00866001" w:rsidRDefault="009A26DF" w:rsidP="00626128">
            <w:pPr>
              <w:ind w:left="851" w:hanging="284"/>
              <w:rPr>
                <w:rFonts w:eastAsia="Batang"/>
                <w:lang w:val="x-none"/>
              </w:rPr>
            </w:pPr>
            <w:r w:rsidRPr="00866001">
              <w:rPr>
                <w:lang w:val="x-none"/>
              </w:rPr>
              <w:t>-</w:t>
            </w:r>
            <w:r w:rsidRPr="00866001">
              <w:rPr>
                <w:lang w:val="x-none"/>
              </w:rPr>
              <w:tab/>
              <w:t xml:space="preserve">When K = 2, the first and second SRS resource sets are applied to the first and second slot of 2 consecutive slots, respectively.  </w:t>
            </w:r>
          </w:p>
          <w:p w14:paraId="62C9E1AE" w14:textId="77777777" w:rsidR="009A26DF" w:rsidRPr="00866001" w:rsidRDefault="009A26DF" w:rsidP="00626128">
            <w:pPr>
              <w:ind w:left="851" w:hanging="284"/>
              <w:rPr>
                <w:rFonts w:eastAsia="Batang"/>
                <w:lang w:val="x-none"/>
              </w:rPr>
            </w:pPr>
            <w:r w:rsidRPr="00866001">
              <w:rPr>
                <w:lang w:val="x-none"/>
              </w:rPr>
              <w:t>-</w:t>
            </w:r>
            <w:r w:rsidRPr="00866001">
              <w:rPr>
                <w:lang w:val="x-none"/>
              </w:rPr>
              <w:tab/>
              <w:t xml:space="preserve">When K &gt; 2 and </w:t>
            </w:r>
            <w:r w:rsidRPr="00866001">
              <w:rPr>
                <w:i/>
                <w:iCs/>
                <w:lang w:val="x-none"/>
              </w:rPr>
              <w:t>cyclicMapping</w:t>
            </w:r>
            <w:r w:rsidRPr="00866001">
              <w:rPr>
                <w:lang w:val="x-none"/>
              </w:rPr>
              <w:t xml:space="preserve"> in </w:t>
            </w:r>
            <w:r w:rsidRPr="00866001">
              <w:rPr>
                <w:i/>
                <w:iCs/>
                <w:lang w:val="x-none"/>
              </w:rPr>
              <w:t>PUSCH-Config</w:t>
            </w:r>
            <w:r w:rsidRPr="00866001">
              <w:rPr>
                <w:lang w:val="x-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75E3BB21" w14:textId="77777777" w:rsidR="009A26DF" w:rsidRPr="00866001" w:rsidRDefault="009A26DF" w:rsidP="00626128">
            <w:pPr>
              <w:ind w:left="851" w:hanging="284"/>
              <w:rPr>
                <w:rFonts w:eastAsia="Batang"/>
                <w:lang w:val="x-none"/>
              </w:rPr>
            </w:pPr>
            <w:r w:rsidRPr="00866001">
              <w:rPr>
                <w:lang w:val="x-none"/>
              </w:rPr>
              <w:t>-</w:t>
            </w:r>
            <w:r w:rsidRPr="00866001">
              <w:rPr>
                <w:lang w:val="x-none"/>
              </w:rPr>
              <w:tab/>
              <w:t xml:space="preserve">When K &gt; 2 and </w:t>
            </w:r>
            <w:r w:rsidRPr="00866001">
              <w:rPr>
                <w:i/>
                <w:iCs/>
                <w:lang w:val="x-none"/>
              </w:rPr>
              <w:t>sequentialMapping</w:t>
            </w:r>
            <w:r w:rsidRPr="00866001">
              <w:rPr>
                <w:lang w:val="x-none"/>
              </w:rPr>
              <w:t xml:space="preserve"> in </w:t>
            </w:r>
            <w:r w:rsidRPr="00866001">
              <w:rPr>
                <w:i/>
                <w:iCs/>
                <w:lang w:val="x-none"/>
              </w:rPr>
              <w:t>PUSCH-Config</w:t>
            </w:r>
            <w:r w:rsidRPr="00866001">
              <w:rPr>
                <w:lang w:val="x-none"/>
              </w:rPr>
              <w:t xml:space="preserve"> is enabled, first SRS resource set is applied to the first and second slots of K consecutive slots, and the second SRS resource set is applied to the </w:t>
            </w:r>
            <w:r w:rsidRPr="00866001">
              <w:rPr>
                <w:lang w:val="x-none"/>
              </w:rPr>
              <w:lastRenderedPageBreak/>
              <w:t>third and fourth slot of K consecutive slots, and the same SRS resource set mapping pattern continues to the remaining slots of K consecutive slots.</w:t>
            </w:r>
          </w:p>
          <w:bookmarkEnd w:id="7"/>
          <w:p w14:paraId="3C8EE8E9" w14:textId="77777777" w:rsidR="009A26DF" w:rsidRPr="00866001" w:rsidRDefault="009A26DF" w:rsidP="00626128">
            <w:pPr>
              <w:ind w:left="568" w:hanging="284"/>
              <w:rPr>
                <w:rFonts w:eastAsia="Batang"/>
                <w:lang w:val="x-none"/>
              </w:rPr>
            </w:pPr>
            <w:r w:rsidRPr="00866001">
              <w:rPr>
                <w:lang w:val="x-none"/>
              </w:rPr>
              <w:t>-</w:t>
            </w:r>
            <w:r w:rsidRPr="00866001">
              <w:rPr>
                <w:lang w:val="x-none"/>
              </w:rPr>
              <w:tab/>
            </w:r>
            <w:r w:rsidRPr="00866001">
              <w:rPr>
                <w:highlight w:val="yellow"/>
                <w:lang w:val="x-none"/>
              </w:rPr>
              <w:t xml:space="preserve">Otherwise, a DCI format 0_1 or DCI format 0_2 indicates codepoint "11" for the </w:t>
            </w:r>
            <w:r w:rsidRPr="00866001">
              <w:rPr>
                <w:i/>
                <w:iCs/>
                <w:highlight w:val="yellow"/>
                <w:lang w:val="x-none"/>
              </w:rPr>
              <w:t>SRS resource set indicator</w:t>
            </w:r>
            <w:r w:rsidRPr="00866001">
              <w:rPr>
                <w:highlight w:val="yellow"/>
                <w:lang w:val="x-none"/>
              </w:rPr>
              <w:t xml:space="preserve">, and </w:t>
            </w:r>
            <w:r w:rsidRPr="00866001">
              <w:rPr>
                <w:rFonts w:eastAsia="Batang"/>
                <w:highlight w:val="yellow"/>
                <w:lang w:val="x-none"/>
              </w:rPr>
              <w:t>the first and second SRS resource set association to K</w:t>
            </w:r>
            <w:r w:rsidRPr="00866001">
              <w:rPr>
                <w:highlight w:val="yellow"/>
                <w:lang w:val="x-none"/>
              </w:rPr>
              <w:t xml:space="preserve"> consecutive slots</w:t>
            </w:r>
            <w:r w:rsidRPr="00866001">
              <w:rPr>
                <w:lang w:val="x-none"/>
              </w:rPr>
              <w:t xml:space="preserve"> is determined as follows, </w:t>
            </w:r>
          </w:p>
          <w:p w14:paraId="5189F94D" w14:textId="77777777" w:rsidR="009A26DF" w:rsidRPr="00866001" w:rsidRDefault="009A26DF" w:rsidP="00626128">
            <w:pPr>
              <w:ind w:left="851" w:hanging="284"/>
              <w:rPr>
                <w:rFonts w:eastAsia="Batang"/>
                <w:lang w:val="x-none"/>
              </w:rPr>
            </w:pPr>
            <w:r w:rsidRPr="00866001">
              <w:rPr>
                <w:lang w:val="x-none"/>
              </w:rPr>
              <w:t>-</w:t>
            </w:r>
            <w:r w:rsidRPr="00866001">
              <w:rPr>
                <w:lang w:val="x-none"/>
              </w:rPr>
              <w:tab/>
              <w:t xml:space="preserve">When K = 2, the second and first SRS resource set are applied to the first and second slot of 2 consecutive slots, respectively.  </w:t>
            </w:r>
          </w:p>
          <w:p w14:paraId="352DE3D4" w14:textId="77777777" w:rsidR="009A26DF" w:rsidRPr="00866001" w:rsidRDefault="009A26DF" w:rsidP="00626128">
            <w:pPr>
              <w:ind w:left="851" w:hanging="284"/>
              <w:rPr>
                <w:rFonts w:eastAsia="Batang"/>
                <w:lang w:val="x-none"/>
              </w:rPr>
            </w:pPr>
            <w:r w:rsidRPr="00866001">
              <w:rPr>
                <w:lang w:val="x-none"/>
              </w:rPr>
              <w:t>-</w:t>
            </w:r>
            <w:r w:rsidRPr="00866001">
              <w:rPr>
                <w:lang w:val="x-none"/>
              </w:rPr>
              <w:tab/>
              <w:t xml:space="preserve">When K &gt; 2 and </w:t>
            </w:r>
            <w:r w:rsidRPr="00866001">
              <w:rPr>
                <w:i/>
                <w:iCs/>
                <w:lang w:val="x-none"/>
              </w:rPr>
              <w:t>cyclicMapping</w:t>
            </w:r>
            <w:r w:rsidRPr="00866001">
              <w:rPr>
                <w:lang w:val="x-none"/>
              </w:rPr>
              <w:t xml:space="preserve"> in </w:t>
            </w:r>
            <w:r w:rsidRPr="00866001">
              <w:rPr>
                <w:i/>
                <w:iCs/>
                <w:lang w:val="x-none"/>
              </w:rPr>
              <w:t>PUSCH-Config</w:t>
            </w:r>
            <w:r w:rsidRPr="00866001">
              <w:rPr>
                <w:lang w:val="x-none"/>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3C8A0239" w14:textId="77777777" w:rsidR="009A26DF" w:rsidRPr="00866001" w:rsidRDefault="009A26DF" w:rsidP="00626128">
            <w:pPr>
              <w:ind w:left="851" w:hanging="284"/>
              <w:rPr>
                <w:rFonts w:eastAsia="Batang"/>
                <w:lang w:val="x-none" w:eastAsia="x-none"/>
              </w:rPr>
            </w:pPr>
            <w:r w:rsidRPr="00866001">
              <w:rPr>
                <w:lang w:val="x-none"/>
              </w:rPr>
              <w:t>-</w:t>
            </w:r>
            <w:r w:rsidRPr="00866001">
              <w:rPr>
                <w:lang w:val="x-none"/>
              </w:rPr>
              <w:tab/>
              <w:t xml:space="preserve">When K &gt; 2 and </w:t>
            </w:r>
            <w:r w:rsidRPr="00866001">
              <w:rPr>
                <w:i/>
                <w:iCs/>
                <w:lang w:val="x-none"/>
              </w:rPr>
              <w:t>sequentialMapping</w:t>
            </w:r>
            <w:r w:rsidRPr="00866001">
              <w:rPr>
                <w:lang w:val="x-none"/>
              </w:rPr>
              <w:t xml:space="preserve"> in </w:t>
            </w:r>
            <w:r w:rsidRPr="00866001">
              <w:rPr>
                <w:i/>
                <w:iCs/>
                <w:lang w:val="x-none"/>
              </w:rPr>
              <w:t>PUSCH-Config</w:t>
            </w:r>
            <w:r w:rsidRPr="00866001">
              <w:rPr>
                <w:lang w:val="x-none"/>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tc>
      </w:tr>
    </w:tbl>
    <w:p w14:paraId="01A8F65B" w14:textId="4B2C5017" w:rsidR="00DB50BA" w:rsidRDefault="00DB50BA" w:rsidP="00DB50BA">
      <w:pPr>
        <w:spacing w:before="120" w:after="120" w:line="276" w:lineRule="auto"/>
        <w:jc w:val="both"/>
      </w:pPr>
      <w:r>
        <w:lastRenderedPageBreak/>
        <w:t xml:space="preserve">An excerpt of Section </w:t>
      </w:r>
      <w:r w:rsidR="00E47885">
        <w:t xml:space="preserve">9.2.6 of TS 38.213 </w:t>
      </w:r>
      <w:r>
        <w:t>is as follows:</w:t>
      </w:r>
    </w:p>
    <w:tbl>
      <w:tblPr>
        <w:tblStyle w:val="TableGrid"/>
        <w:tblW w:w="0" w:type="auto"/>
        <w:tblLook w:val="04A0" w:firstRow="1" w:lastRow="0" w:firstColumn="1" w:lastColumn="0" w:noHBand="0" w:noVBand="1"/>
      </w:tblPr>
      <w:tblGrid>
        <w:gridCol w:w="9629"/>
      </w:tblGrid>
      <w:tr w:rsidR="00E0243C" w14:paraId="4ECF7715" w14:textId="77777777" w:rsidTr="00E0243C">
        <w:tc>
          <w:tcPr>
            <w:tcW w:w="9629" w:type="dxa"/>
          </w:tcPr>
          <w:p w14:paraId="2F515116" w14:textId="77777777" w:rsidR="00E47885" w:rsidRPr="00F415B1" w:rsidRDefault="00E47885" w:rsidP="00E47885">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5DA07635" w14:textId="77777777" w:rsidR="00E47885" w:rsidRPr="00F415B1" w:rsidRDefault="00E47885" w:rsidP="00E47885">
            <w:pPr>
              <w:pStyle w:val="B1"/>
              <w:rPr>
                <w:lang w:val="en-US"/>
              </w:rPr>
            </w:pPr>
            <w:r w:rsidRPr="00F415B1">
              <w:t>-</w:t>
            </w:r>
            <w:r w:rsidRPr="00F415B1">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136CC508" w14:textId="6E001C8D" w:rsidR="00E0243C" w:rsidRPr="00E47885" w:rsidRDefault="00E47885" w:rsidP="00E47885">
            <w:pPr>
              <w:pStyle w:val="B1"/>
              <w:rPr>
                <w:lang w:val="en-US"/>
              </w:rPr>
            </w:pPr>
            <w:r w:rsidRPr="00F415B1">
              <w:t>-</w:t>
            </w:r>
            <w:r w:rsidRPr="00F415B1">
              <w:tab/>
            </w:r>
            <w:r w:rsidRPr="00E47885">
              <w:rPr>
                <w:highlight w:val="yellow"/>
              </w:rPr>
              <w:t>alternates between the first and second spatial setting</w:t>
            </w:r>
            <w:r w:rsidRPr="00E47885">
              <w:rPr>
                <w:highlight w:val="yellow"/>
                <w:lang w:val="en-US"/>
              </w:rPr>
              <w:t xml:space="preserve">s, or between the </w:t>
            </w:r>
            <w:r w:rsidRPr="00E47885">
              <w:rPr>
                <w:highlight w:val="yellow"/>
              </w:rPr>
              <w:t>first and second sets of power control parameters</w:t>
            </w:r>
            <w:r w:rsidRPr="00E47885">
              <w:rPr>
                <w:highlight w:val="yellow"/>
                <w:lang w:val="en-US"/>
              </w:rPr>
              <w:t xml:space="preserve">, respectively, per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PUCCH</m:t>
                  </m:r>
                </m:sub>
                <m:sup>
                  <m:r>
                    <m:rPr>
                      <m:nor/>
                    </m:rPr>
                    <w:rPr>
                      <w:highlight w:val="yellow"/>
                      <w:lang w:val="en-US"/>
                    </w:rPr>
                    <m:t>switch</m:t>
                  </m:r>
                </m:sup>
              </m:sSubSup>
            </m:oMath>
            <w:r w:rsidRPr="00E47885">
              <w:rPr>
                <w:highlight w:val="yellow"/>
                <w:lang w:val="en-US"/>
              </w:rPr>
              <w:t xml:space="preserve"> repetitions of the PUCCH transmission, where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PUCCH</m:t>
                  </m:r>
                </m:sub>
                <m:sup>
                  <m:r>
                    <m:rPr>
                      <m:nor/>
                    </m:rPr>
                    <w:rPr>
                      <w:highlight w:val="yellow"/>
                      <w:lang w:val="en-US"/>
                    </w:rPr>
                    <m:t>switch</m:t>
                  </m:r>
                </m:sup>
              </m:sSubSup>
              <m:r>
                <w:rPr>
                  <w:rFonts w:ascii="Cambria Math" w:hAnsi="Cambria Math"/>
                  <w:highlight w:val="yellow"/>
                </w:rPr>
                <m:t>=1</m:t>
              </m:r>
            </m:oMath>
            <w:r w:rsidRPr="00E47885">
              <w:rPr>
                <w:highlight w:val="yellow"/>
                <w:lang w:val="en-US"/>
              </w:rPr>
              <w:t xml:space="preserve"> if </w:t>
            </w:r>
            <w:r w:rsidRPr="00E47885">
              <w:rPr>
                <w:i/>
                <w:iCs/>
                <w:highlight w:val="yellow"/>
                <w:lang w:val="en-US"/>
              </w:rPr>
              <w:t>m</w:t>
            </w:r>
            <w:r w:rsidRPr="00E47885">
              <w:rPr>
                <w:i/>
                <w:iCs/>
                <w:highlight w:val="yellow"/>
              </w:rPr>
              <w:t>apping</w:t>
            </w:r>
            <w:r w:rsidRPr="00E47885">
              <w:rPr>
                <w:i/>
                <w:iCs/>
                <w:highlight w:val="yellow"/>
                <w:lang w:val="en-US"/>
              </w:rPr>
              <w:t>Pattern</w:t>
            </w:r>
            <w:r w:rsidRPr="00E47885">
              <w:rPr>
                <w:highlight w:val="yellow"/>
              </w:rPr>
              <w:t xml:space="preserve"> = 'cyclic</w:t>
            </w:r>
            <w:r w:rsidRPr="00E47885">
              <w:rPr>
                <w:highlight w:val="yellow"/>
                <w:lang w:val="en-US"/>
              </w:rPr>
              <w:t>Mapping</w:t>
            </w:r>
            <w:r w:rsidRPr="00E47885">
              <w:rPr>
                <w:highlight w:val="yellow"/>
              </w:rPr>
              <w:t>'</w:t>
            </w:r>
            <w:r w:rsidRPr="00E47885">
              <w:rPr>
                <w:highlight w:val="yellow"/>
                <w:lang w:val="en-US"/>
              </w:rPr>
              <w:t xml:space="preserve">; else,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PUCCH</m:t>
                  </m:r>
                </m:sub>
                <m:sup>
                  <m:r>
                    <m:rPr>
                      <m:nor/>
                    </m:rPr>
                    <w:rPr>
                      <w:highlight w:val="yellow"/>
                      <w:lang w:val="en-US"/>
                    </w:rPr>
                    <m:t>switch</m:t>
                  </m:r>
                </m:sup>
              </m:sSubSup>
              <m:r>
                <w:rPr>
                  <w:rFonts w:ascii="Cambria Math" w:hAnsi="Cambria Math"/>
                  <w:highlight w:val="yellow"/>
                </w:rPr>
                <m:t>=2</m:t>
              </m:r>
            </m:oMath>
            <w:r w:rsidRPr="00E47885">
              <w:rPr>
                <w:highlight w:val="yellow"/>
                <w:lang w:val="en-US"/>
              </w:rPr>
              <w:t>.</w:t>
            </w:r>
          </w:p>
        </w:tc>
      </w:tr>
    </w:tbl>
    <w:p w14:paraId="09B70579" w14:textId="5BBFCD32" w:rsidR="009A26DF" w:rsidRDefault="00DB50BA" w:rsidP="000C1B80">
      <w:pPr>
        <w:spacing w:before="120" w:after="120" w:line="276" w:lineRule="auto"/>
        <w:jc w:val="both"/>
      </w:pPr>
      <w:r>
        <w:t>For PUSCH repetition, i</w:t>
      </w:r>
      <w:r w:rsidR="009A26DF">
        <w:t xml:space="preserve">t can be observed from the above specs excerpt that, when the </w:t>
      </w:r>
      <w:r w:rsidR="009A26DF" w:rsidRPr="00F60D5D">
        <w:rPr>
          <w:i/>
          <w:iCs/>
        </w:rPr>
        <w:t>SRS resource set indicator</w:t>
      </w:r>
      <w:r w:rsidR="009A26DF">
        <w:t xml:space="preserve"> field in DCI indicates codepoint “10” or “11”, i.e., when two SRS resource sets are used for mapping, cyclic mapping or sequential mapping of the SRS resource sets are applied for </w:t>
      </w:r>
      <w:r w:rsidR="009A26DF" w:rsidRPr="00D12D00">
        <w:rPr>
          <w:i/>
          <w:iCs/>
        </w:rPr>
        <w:t>K</w:t>
      </w:r>
      <w:r w:rsidR="009A26DF">
        <w:t xml:space="preserve"> consecutive slots where </w:t>
      </w:r>
      <w:r w:rsidR="009A26DF" w:rsidRPr="00030189">
        <w:rPr>
          <w:i/>
          <w:iCs/>
        </w:rPr>
        <w:t>K</w:t>
      </w:r>
      <w:r w:rsidR="009A26DF">
        <w:t xml:space="preserve"> is the number of repetitions. </w:t>
      </w:r>
      <w:r w:rsidR="000C1B80">
        <w:t>It is worth also noting that</w:t>
      </w:r>
      <w:r w:rsidR="009A26DF">
        <w:t xml:space="preserve"> using different SRS resource sets between two consecutive PUSCH/PUCCH transmissions is also considered as an event that breaks power consistency and phase continuity for joint channel estimation between the two PUSCH/PUCCH transmissions</w:t>
      </w:r>
      <w:r w:rsidR="000C1B80">
        <w:t xml:space="preserve"> according to Clause 6.1.7 of TS 38.214</w:t>
      </w:r>
      <w:r w:rsidR="009A26DF">
        <w:t xml:space="preserve">. </w:t>
      </w:r>
      <w:r w:rsidR="009A26DF" w:rsidRPr="002D2812">
        <w:t>Therefore, the legacy cyclic mapping and sequential mapping of SRS resource sets</w:t>
      </w:r>
      <w:r w:rsidR="000C1B80" w:rsidRPr="002D2812">
        <w:t xml:space="preserve"> for PUSCH repetition type A</w:t>
      </w:r>
      <w:r w:rsidR="009A26DF" w:rsidRPr="002D2812">
        <w:t xml:space="preserve"> are not </w:t>
      </w:r>
      <w:r w:rsidR="0039057E">
        <w:t xml:space="preserve">suitable </w:t>
      </w:r>
      <w:r w:rsidR="009A26DF" w:rsidRPr="002D2812">
        <w:t>for joint channel estimation</w:t>
      </w:r>
      <w:r w:rsidR="0039057E">
        <w:t xml:space="preserve"> in the context of m-TRP applications</w:t>
      </w:r>
      <w:r w:rsidR="009A26DF" w:rsidRPr="002D2812">
        <w:t>. Note that, when available, both m-TRP</w:t>
      </w:r>
      <w:r w:rsidR="000C1B80" w:rsidRPr="002D2812">
        <w:t xml:space="preserve"> transmission</w:t>
      </w:r>
      <w:r w:rsidR="009A26DF" w:rsidRPr="002D2812">
        <w:t xml:space="preserve"> and joint channel estimation for PUSCH repetition type A are helpful for extending coverage if they are used together.</w:t>
      </w:r>
    </w:p>
    <w:p w14:paraId="682FEE73" w14:textId="734237DF" w:rsidR="0039057E" w:rsidRPr="0039057E" w:rsidRDefault="0039057E" w:rsidP="000C1B80">
      <w:pPr>
        <w:spacing w:before="120" w:after="120" w:line="276" w:lineRule="auto"/>
        <w:jc w:val="both"/>
      </w:pPr>
      <w:r w:rsidRPr="00D233CE">
        <w:rPr>
          <w:b/>
          <w:bCs/>
          <w:u w:val="single"/>
        </w:rPr>
        <w:fldChar w:fldCharType="begin"/>
      </w:r>
      <w:r w:rsidRPr="00D233CE">
        <w:rPr>
          <w:b/>
          <w:bCs/>
          <w:u w:val="single"/>
        </w:rPr>
        <w:instrText xml:space="preserve"> REF _Ref110505909 \h </w:instrText>
      </w:r>
      <w:r>
        <w:rPr>
          <w:b/>
          <w:bCs/>
          <w:u w:val="single"/>
        </w:rPr>
        <w:instrText xml:space="preserve"> \* MERGEFORMAT </w:instrText>
      </w:r>
      <w:r w:rsidRPr="00D233CE">
        <w:rPr>
          <w:b/>
          <w:bCs/>
          <w:u w:val="single"/>
        </w:rPr>
      </w:r>
      <w:r w:rsidRPr="00D233CE">
        <w:rPr>
          <w:b/>
          <w:bCs/>
          <w:u w:val="single"/>
        </w:rPr>
        <w:fldChar w:fldCharType="separate"/>
      </w:r>
      <w:r>
        <w:t xml:space="preserve">Figure </w:t>
      </w:r>
      <w:r>
        <w:rPr>
          <w:noProof/>
        </w:rPr>
        <w:t>1</w:t>
      </w:r>
      <w:r w:rsidRPr="00D233CE">
        <w:rPr>
          <w:b/>
          <w:bCs/>
          <w:u w:val="single"/>
        </w:rPr>
        <w:fldChar w:fldCharType="end"/>
      </w:r>
      <w:r w:rsidRPr="00D233CE">
        <w:t xml:space="preserve"> shows</w:t>
      </w:r>
      <w:r>
        <w:t xml:space="preserve"> examples of using legacy cyclic mapping and sequential mapping of SRS resource sets for Rel-15/16 PUSCH repetition type A assuming K = 16, S = 5, L = 7 and </w:t>
      </w:r>
      <w:r w:rsidRPr="000F3D3F">
        <w:t>DDSUU</w:t>
      </w:r>
      <w:r>
        <w:t xml:space="preserve"> </w:t>
      </w:r>
      <w:r w:rsidRPr="000F3D3F">
        <w:t>(10D:2G:2U) TDD pattern</w:t>
      </w:r>
      <w:r>
        <w:t xml:space="preserve">. </w:t>
      </w:r>
      <w:r w:rsidRPr="00727596">
        <w:t xml:space="preserve">It can be observed that </w:t>
      </w:r>
      <w:r>
        <w:t xml:space="preserve">for both cyclic mapping and sequential mapping, cases </w:t>
      </w:r>
      <w:r>
        <w:t>in which</w:t>
      </w:r>
      <w:r>
        <w:t xml:space="preserve"> the back-to-back UL slots are mapped with different SRS resource sets</w:t>
      </w:r>
      <w:r>
        <w:t xml:space="preserve"> can easily occur</w:t>
      </w:r>
      <w:r>
        <w:t>, and hence, joint channel estimation cannot be applied for PUSCH transmissions on these slots.</w:t>
      </w:r>
    </w:p>
    <w:p w14:paraId="644D2B42" w14:textId="4876805D" w:rsidR="000C1B80" w:rsidRDefault="002D2812" w:rsidP="002D2812">
      <w:pPr>
        <w:pStyle w:val="Caption"/>
        <w:rPr>
          <w:bCs/>
        </w:rPr>
      </w:pPr>
      <w:r>
        <w:t xml:space="preserve">Observation </w:t>
      </w:r>
      <w:r>
        <w:fldChar w:fldCharType="begin"/>
      </w:r>
      <w:r>
        <w:instrText xml:space="preserve"> SEQ Observation \* ARABIC </w:instrText>
      </w:r>
      <w:r>
        <w:fldChar w:fldCharType="separate"/>
      </w:r>
      <w:r w:rsidR="00F170DE">
        <w:rPr>
          <w:noProof/>
        </w:rPr>
        <w:t>1</w:t>
      </w:r>
      <w:r>
        <w:fldChar w:fldCharType="end"/>
      </w:r>
      <w:r>
        <w:t xml:space="preserve">. </w:t>
      </w:r>
      <w:r>
        <w:rPr>
          <w:bCs/>
        </w:rPr>
        <w:t>W</w:t>
      </w:r>
      <w:r w:rsidRPr="004245ED">
        <w:rPr>
          <w:bCs/>
        </w:rPr>
        <w:t>hen available, both m-TRP</w:t>
      </w:r>
      <w:r>
        <w:rPr>
          <w:b w:val="0"/>
          <w:bCs/>
        </w:rPr>
        <w:t xml:space="preserve"> </w:t>
      </w:r>
      <w:r w:rsidRPr="002D2812">
        <w:t xml:space="preserve">transmission </w:t>
      </w:r>
      <w:r w:rsidRPr="004245ED">
        <w:rPr>
          <w:bCs/>
        </w:rPr>
        <w:t xml:space="preserve">and joint channel estimation </w:t>
      </w:r>
      <w:r>
        <w:rPr>
          <w:bCs/>
        </w:rPr>
        <w:t xml:space="preserve">for PUSCH repetition type A </w:t>
      </w:r>
      <w:r w:rsidRPr="004245ED">
        <w:rPr>
          <w:bCs/>
        </w:rPr>
        <w:t>are helpful for extending coverage if they are used together.</w:t>
      </w:r>
    </w:p>
    <w:p w14:paraId="4DD5A351" w14:textId="0798D635" w:rsidR="002D2812" w:rsidRDefault="00E67627" w:rsidP="00E67627">
      <w:pPr>
        <w:pStyle w:val="Caption"/>
      </w:pPr>
      <w:r>
        <w:t xml:space="preserve">Observation </w:t>
      </w:r>
      <w:r>
        <w:fldChar w:fldCharType="begin"/>
      </w:r>
      <w:r>
        <w:instrText xml:space="preserve"> SEQ Observation \* ARABIC </w:instrText>
      </w:r>
      <w:r>
        <w:fldChar w:fldCharType="separate"/>
      </w:r>
      <w:r w:rsidR="00F170DE">
        <w:rPr>
          <w:noProof/>
        </w:rPr>
        <w:t>2</w:t>
      </w:r>
      <w:r>
        <w:fldChar w:fldCharType="end"/>
      </w:r>
      <w:r>
        <w:t xml:space="preserve">. </w:t>
      </w:r>
      <w:r w:rsidR="00D760CA">
        <w:t>T</w:t>
      </w:r>
      <w:r w:rsidR="00D760CA" w:rsidRPr="002D2812">
        <w:t xml:space="preserve">he legacy cyclic mapping and sequential mapping of SRS resource sets for PUSCH repetition type A are not </w:t>
      </w:r>
      <w:r w:rsidR="0039057E">
        <w:t>suitable</w:t>
      </w:r>
      <w:r w:rsidR="00D760CA" w:rsidRPr="002D2812">
        <w:t xml:space="preserve"> for joint channel estimation</w:t>
      </w:r>
      <w:r w:rsidR="00EF070C">
        <w:t xml:space="preserve"> in the context of m-TRP applications</w:t>
      </w:r>
      <w:r w:rsidR="00D760CA">
        <w:t>.</w:t>
      </w:r>
    </w:p>
    <w:p w14:paraId="0BEC1845" w14:textId="1E9E9321" w:rsidR="0039057E" w:rsidRDefault="0039057E" w:rsidP="0039057E">
      <w:pPr>
        <w:pStyle w:val="Caption"/>
        <w:jc w:val="both"/>
      </w:pPr>
      <w:r>
        <w:t xml:space="preserve">Observation </w:t>
      </w:r>
      <w:r>
        <w:fldChar w:fldCharType="begin"/>
      </w:r>
      <w:r>
        <w:instrText xml:space="preserve"> SEQ Observation \* ARABIC </w:instrText>
      </w:r>
      <w:r>
        <w:fldChar w:fldCharType="separate"/>
      </w:r>
      <w:r>
        <w:rPr>
          <w:noProof/>
        </w:rPr>
        <w:t>3</w:t>
      </w:r>
      <w:r>
        <w:fldChar w:fldCharType="end"/>
      </w:r>
      <w:r>
        <w:t xml:space="preserve">. In TDD, </w:t>
      </w:r>
      <w:r w:rsidRPr="0039756D">
        <w:t>for both cyclic mapping and sequential mapping</w:t>
      </w:r>
      <w:r>
        <w:t xml:space="preserve"> of SRS resource sets for PUSCH repetition type A</w:t>
      </w:r>
      <w:r w:rsidRPr="0039756D">
        <w:t xml:space="preserve">, cases </w:t>
      </w:r>
      <w:r w:rsidR="00EF070C">
        <w:t>in which</w:t>
      </w:r>
      <w:r w:rsidRPr="0039756D">
        <w:t xml:space="preserve"> the back-to-back UL slots are mapped with different SRS resource sets</w:t>
      </w:r>
      <w:r w:rsidR="00EF070C">
        <w:t xml:space="preserve"> can easily occur</w:t>
      </w:r>
      <w:r w:rsidRPr="0039756D">
        <w:t>, and hence, joint channel estimation cannot be applied for PUSCH transmissions on these slots.</w:t>
      </w:r>
    </w:p>
    <w:p w14:paraId="06AF3E0C" w14:textId="77777777" w:rsidR="0039057E" w:rsidRPr="0039057E" w:rsidRDefault="0039057E" w:rsidP="0039057E"/>
    <w:p w14:paraId="4D59ABC1" w14:textId="77777777" w:rsidR="009A26DF" w:rsidRDefault="009A26DF" w:rsidP="000C1B80">
      <w:pPr>
        <w:spacing w:before="120" w:after="120" w:line="276" w:lineRule="auto"/>
        <w:jc w:val="both"/>
      </w:pPr>
    </w:p>
    <w:p w14:paraId="041ED8D1" w14:textId="77777777" w:rsidR="009A26DF" w:rsidRDefault="009A26DF" w:rsidP="000C1B80">
      <w:pPr>
        <w:keepNext/>
        <w:spacing w:before="120" w:after="120" w:line="276" w:lineRule="auto"/>
        <w:jc w:val="center"/>
      </w:pPr>
      <w:r>
        <w:rPr>
          <w:noProof/>
        </w:rPr>
        <w:lastRenderedPageBreak/>
        <w:drawing>
          <wp:inline distT="0" distB="0" distL="0" distR="0" wp14:anchorId="50B136A1" wp14:editId="39899ACD">
            <wp:extent cx="4406073" cy="2647284"/>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30638" cy="2662043"/>
                    </a:xfrm>
                    <a:prstGeom prst="rect">
                      <a:avLst/>
                    </a:prstGeom>
                  </pic:spPr>
                </pic:pic>
              </a:graphicData>
            </a:graphic>
          </wp:inline>
        </w:drawing>
      </w:r>
    </w:p>
    <w:p w14:paraId="2E708B44" w14:textId="11CD378A" w:rsidR="009A26DF" w:rsidRPr="00C174FF" w:rsidRDefault="009A26DF" w:rsidP="000C1B80">
      <w:pPr>
        <w:pStyle w:val="Caption"/>
        <w:jc w:val="center"/>
      </w:pPr>
      <w:bookmarkStart w:id="8" w:name="_Ref110505909"/>
      <w:r>
        <w:t xml:space="preserve">Figure </w:t>
      </w:r>
      <w:r>
        <w:fldChar w:fldCharType="begin"/>
      </w:r>
      <w:r>
        <w:instrText xml:space="preserve"> SEQ Figure \* ARABIC </w:instrText>
      </w:r>
      <w:r>
        <w:fldChar w:fldCharType="separate"/>
      </w:r>
      <w:r w:rsidR="00F170DE">
        <w:rPr>
          <w:noProof/>
        </w:rPr>
        <w:t>1</w:t>
      </w:r>
      <w:r>
        <w:rPr>
          <w:noProof/>
        </w:rPr>
        <w:fldChar w:fldCharType="end"/>
      </w:r>
      <w:bookmarkEnd w:id="8"/>
      <w:r>
        <w:t xml:space="preserve">. </w:t>
      </w:r>
      <w:bookmarkStart w:id="9" w:name="_Hlk110517601"/>
      <w:r>
        <w:t>Examples of cyclic mapping</w:t>
      </w:r>
      <w:r>
        <w:rPr>
          <w:noProof/>
        </w:rPr>
        <w:t xml:space="preserve"> and sequential mapping in case K = 16, S = 5 and L = 7, assuming DDSUU (10D:2G:2U) TDD pattern.</w:t>
      </w:r>
    </w:p>
    <w:bookmarkEnd w:id="9"/>
    <w:p w14:paraId="5BC2C3BC" w14:textId="77777777" w:rsidR="00EF070C" w:rsidRDefault="00EF070C" w:rsidP="000C1B80">
      <w:pPr>
        <w:spacing w:before="120" w:after="120" w:line="276" w:lineRule="auto"/>
        <w:jc w:val="both"/>
      </w:pPr>
    </w:p>
    <w:p w14:paraId="1C779385" w14:textId="447F1E86" w:rsidR="009A26DF" w:rsidRPr="0039756D" w:rsidRDefault="009A26DF" w:rsidP="000C1B80">
      <w:pPr>
        <w:spacing w:before="120" w:after="120" w:line="276" w:lineRule="auto"/>
        <w:jc w:val="both"/>
      </w:pPr>
      <w:r>
        <w:t xml:space="preserve">Legacy cyclic mapping and sequential mapping of SRS resource sets also have issues when using with joint channel estimation in FDD as shown in </w:t>
      </w:r>
      <w:r w:rsidRPr="000A3634">
        <w:fldChar w:fldCharType="begin"/>
      </w:r>
      <w:r w:rsidRPr="000A3634">
        <w:instrText xml:space="preserve"> REF _Ref110517669 \h </w:instrText>
      </w:r>
      <w:r>
        <w:instrText xml:space="preserve"> \* MERGEFORMAT </w:instrText>
      </w:r>
      <w:r w:rsidRPr="000A3634">
        <w:fldChar w:fldCharType="separate"/>
      </w:r>
      <w:r w:rsidR="00F170DE">
        <w:t xml:space="preserve">Figure </w:t>
      </w:r>
      <w:r w:rsidR="00F170DE">
        <w:rPr>
          <w:noProof/>
        </w:rPr>
        <w:t>2</w:t>
      </w:r>
      <w:r w:rsidRPr="000A3634">
        <w:fldChar w:fldCharType="end"/>
      </w:r>
      <w:r>
        <w:t xml:space="preserve">. Normally, in FDD, the chance for an aTDW to be equal to nTDW is high given that the consecutive UL slots are not interrupted by DL slots, DL transmissions or monitoring. However, it is observed from </w:t>
      </w:r>
      <w:r w:rsidRPr="000A3634">
        <w:fldChar w:fldCharType="begin"/>
      </w:r>
      <w:r w:rsidRPr="000A3634">
        <w:instrText xml:space="preserve"> REF _Ref110517669 \h </w:instrText>
      </w:r>
      <w:r>
        <w:instrText xml:space="preserve"> \* MERGEFORMAT </w:instrText>
      </w:r>
      <w:r w:rsidRPr="000A3634">
        <w:fldChar w:fldCharType="separate"/>
      </w:r>
      <w:r w:rsidR="00F170DE">
        <w:t xml:space="preserve">Figure </w:t>
      </w:r>
      <w:r w:rsidR="00F170DE">
        <w:rPr>
          <w:noProof/>
        </w:rPr>
        <w:t>2</w:t>
      </w:r>
      <w:r w:rsidRPr="000A3634">
        <w:fldChar w:fldCharType="end"/>
      </w:r>
      <w:r>
        <w:t xml:space="preserve"> </w:t>
      </w:r>
      <w:r w:rsidRPr="0039756D">
        <w:t>that:</w:t>
      </w:r>
    </w:p>
    <w:p w14:paraId="32631C20" w14:textId="0F636524" w:rsidR="009A26DF" w:rsidRPr="0039756D" w:rsidRDefault="009A26DF" w:rsidP="000C1B80">
      <w:pPr>
        <w:pStyle w:val="ListParagraph"/>
        <w:numPr>
          <w:ilvl w:val="1"/>
          <w:numId w:val="47"/>
        </w:numPr>
        <w:spacing w:before="120" w:after="120" w:line="276" w:lineRule="auto"/>
        <w:ind w:left="1080"/>
        <w:jc w:val="both"/>
        <w:rPr>
          <w:lang w:val="en-GB"/>
        </w:rPr>
      </w:pPr>
      <w:r w:rsidRPr="0039756D">
        <w:rPr>
          <w:lang w:val="en-GB"/>
        </w:rPr>
        <w:t xml:space="preserve">With cyclic mapping </w:t>
      </w:r>
      <w:r w:rsidR="00EF070C">
        <w:rPr>
          <w:lang w:val="en-GB"/>
        </w:rPr>
        <w:t xml:space="preserve">is used </w:t>
      </w:r>
      <w:r w:rsidRPr="0039756D">
        <w:rPr>
          <w:lang w:val="en-GB"/>
        </w:rPr>
        <w:t>in FDD, joint channel estimation cannot be applied across any pair of consecutive PUSCHs since they are mapped with different SRS resource sets.</w:t>
      </w:r>
    </w:p>
    <w:p w14:paraId="1F3AC40E" w14:textId="1A3A7EA3" w:rsidR="009A26DF" w:rsidRPr="0039756D" w:rsidRDefault="009A26DF" w:rsidP="000C1B80">
      <w:pPr>
        <w:pStyle w:val="ListParagraph"/>
        <w:numPr>
          <w:ilvl w:val="1"/>
          <w:numId w:val="47"/>
        </w:numPr>
        <w:spacing w:before="120" w:after="120" w:line="276" w:lineRule="auto"/>
        <w:ind w:left="1080"/>
        <w:jc w:val="both"/>
        <w:rPr>
          <w:lang w:val="en-GB"/>
        </w:rPr>
      </w:pPr>
      <w:r w:rsidRPr="0039756D">
        <w:rPr>
          <w:lang w:val="en-GB"/>
        </w:rPr>
        <w:t xml:space="preserve">With sequential mapping in FDD, the maximum aTDW length is 2 regardless of the nTDW length (which is normally </w:t>
      </w:r>
      <w:r w:rsidR="00EF070C">
        <w:rPr>
          <w:lang w:val="en-GB"/>
        </w:rPr>
        <w:t xml:space="preserve">expected to be </w:t>
      </w:r>
      <w:r w:rsidRPr="0039756D">
        <w:rPr>
          <w:lang w:val="en-GB"/>
        </w:rPr>
        <w:t>configured to be equal to the maximum capability of slots bundling reported by UE).</w:t>
      </w:r>
    </w:p>
    <w:p w14:paraId="2C800B0E" w14:textId="77777777" w:rsidR="009A26DF" w:rsidRDefault="009A26DF" w:rsidP="000C1B80">
      <w:pPr>
        <w:keepNext/>
        <w:spacing w:before="120" w:after="120" w:line="276" w:lineRule="auto"/>
        <w:jc w:val="both"/>
      </w:pPr>
      <w:r>
        <w:rPr>
          <w:noProof/>
        </w:rPr>
        <w:drawing>
          <wp:inline distT="0" distB="0" distL="0" distR="0" wp14:anchorId="6F047BEB" wp14:editId="1A12D139">
            <wp:extent cx="5863670" cy="3345181"/>
            <wp:effectExtent l="0" t="0" r="381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873126" cy="3350576"/>
                    </a:xfrm>
                    <a:prstGeom prst="rect">
                      <a:avLst/>
                    </a:prstGeom>
                  </pic:spPr>
                </pic:pic>
              </a:graphicData>
            </a:graphic>
          </wp:inline>
        </w:drawing>
      </w:r>
    </w:p>
    <w:p w14:paraId="4734D3E1" w14:textId="3484B8D1" w:rsidR="009A26DF" w:rsidRDefault="009A26DF" w:rsidP="000C1B80">
      <w:pPr>
        <w:pStyle w:val="Caption"/>
        <w:jc w:val="center"/>
      </w:pPr>
      <w:bookmarkStart w:id="10" w:name="_Ref110517669"/>
      <w:r>
        <w:t xml:space="preserve">Figure </w:t>
      </w:r>
      <w:r>
        <w:fldChar w:fldCharType="begin"/>
      </w:r>
      <w:r>
        <w:instrText xml:space="preserve"> SEQ Figure \* ARABIC </w:instrText>
      </w:r>
      <w:r>
        <w:fldChar w:fldCharType="separate"/>
      </w:r>
      <w:r w:rsidR="00F170DE">
        <w:rPr>
          <w:noProof/>
        </w:rPr>
        <w:t>2</w:t>
      </w:r>
      <w:r>
        <w:rPr>
          <w:noProof/>
        </w:rPr>
        <w:fldChar w:fldCharType="end"/>
      </w:r>
      <w:bookmarkEnd w:id="10"/>
      <w:r>
        <w:t xml:space="preserve">. </w:t>
      </w:r>
      <w:r w:rsidRPr="00AB2457">
        <w:t>Examples of cyclic mapping and sequential mapping in case K = 16</w:t>
      </w:r>
      <w:r>
        <w:t xml:space="preserve"> and FDD</w:t>
      </w:r>
      <w:r w:rsidRPr="00AB2457">
        <w:t>.</w:t>
      </w:r>
    </w:p>
    <w:p w14:paraId="38A4F190" w14:textId="25446498" w:rsidR="00C73B6A" w:rsidRDefault="0039756D" w:rsidP="00CF5442">
      <w:pPr>
        <w:pStyle w:val="Caption"/>
        <w:spacing w:line="276" w:lineRule="auto"/>
        <w:jc w:val="both"/>
      </w:pPr>
      <w:r>
        <w:lastRenderedPageBreak/>
        <w:t xml:space="preserve">Observation </w:t>
      </w:r>
      <w:r>
        <w:fldChar w:fldCharType="begin"/>
      </w:r>
      <w:r>
        <w:instrText xml:space="preserve"> SEQ Observation \* ARABIC </w:instrText>
      </w:r>
      <w:r>
        <w:fldChar w:fldCharType="separate"/>
      </w:r>
      <w:r w:rsidR="00F170DE">
        <w:rPr>
          <w:noProof/>
        </w:rPr>
        <w:t>4</w:t>
      </w:r>
      <w:r>
        <w:fldChar w:fldCharType="end"/>
      </w:r>
      <w:r>
        <w:t xml:space="preserve">. In FDD, for cyclic </w:t>
      </w:r>
      <w:r w:rsidRPr="0039756D">
        <w:t>mapping</w:t>
      </w:r>
      <w:r>
        <w:t xml:space="preserve"> of SRS resource sets for PUSCH repetition type A</w:t>
      </w:r>
      <w:r w:rsidRPr="0039756D">
        <w:t>,</w:t>
      </w:r>
      <w:r>
        <w:t xml:space="preserve"> </w:t>
      </w:r>
      <w:r w:rsidRPr="0039756D">
        <w:t>joint channel estimation cannot be applied across any pair of consecutive PUSCHs since they are mapped with different SRS resource sets.</w:t>
      </w:r>
    </w:p>
    <w:p w14:paraId="52E3A4B4" w14:textId="63CFC697" w:rsidR="00C1596E" w:rsidRDefault="00C1596E" w:rsidP="00CF5442">
      <w:pPr>
        <w:pStyle w:val="Caption"/>
        <w:spacing w:line="276" w:lineRule="auto"/>
        <w:jc w:val="both"/>
      </w:pPr>
      <w:r>
        <w:t xml:space="preserve">Observation </w:t>
      </w:r>
      <w:r>
        <w:fldChar w:fldCharType="begin"/>
      </w:r>
      <w:r>
        <w:instrText xml:space="preserve"> SEQ Observation \* ARABIC </w:instrText>
      </w:r>
      <w:r>
        <w:fldChar w:fldCharType="separate"/>
      </w:r>
      <w:r w:rsidR="00F170DE">
        <w:rPr>
          <w:noProof/>
        </w:rPr>
        <w:t>5</w:t>
      </w:r>
      <w:r>
        <w:fldChar w:fldCharType="end"/>
      </w:r>
      <w:r>
        <w:t xml:space="preserve">. In FDD, for sequential </w:t>
      </w:r>
      <w:r w:rsidRPr="0039756D">
        <w:t>mapping</w:t>
      </w:r>
      <w:r>
        <w:t xml:space="preserve"> of SRS resource sets for PUSCH repetition type A</w:t>
      </w:r>
      <w:r w:rsidRPr="0039756D">
        <w:t>,</w:t>
      </w:r>
      <w:r>
        <w:t xml:space="preserve"> </w:t>
      </w:r>
      <w:r w:rsidRPr="00C1596E">
        <w:t>the maximum aTDW length is 2 regardless of the nTDW length</w:t>
      </w:r>
      <w:r w:rsidR="00702289">
        <w:t>, wh</w:t>
      </w:r>
      <w:r w:rsidRPr="00C1596E">
        <w:t xml:space="preserve">ich is </w:t>
      </w:r>
      <w:r w:rsidR="00EF070C">
        <w:t xml:space="preserve">expected to be </w:t>
      </w:r>
      <w:r w:rsidRPr="00C1596E">
        <w:t>normally configured to be equal to the maximum capability of slots bundling reported by UE.</w:t>
      </w:r>
    </w:p>
    <w:p w14:paraId="5DA25176" w14:textId="1A11BA47" w:rsidR="00D93E61" w:rsidRDefault="000311B3" w:rsidP="00CF5442">
      <w:pPr>
        <w:spacing w:line="276" w:lineRule="auto"/>
        <w:jc w:val="both"/>
      </w:pPr>
      <w:r>
        <w:t xml:space="preserve">From the above observations, it can be concluded that approaches for </w:t>
      </w:r>
      <w:r w:rsidRPr="0039756D">
        <w:t>mapping</w:t>
      </w:r>
      <w:r>
        <w:t xml:space="preserve"> of SRS resource sets for PUSCH repetition type A should be </w:t>
      </w:r>
      <w:r w:rsidR="00EF070C">
        <w:t>amended</w:t>
      </w:r>
      <w:r>
        <w:t xml:space="preserve"> to enable joint channel estimation</w:t>
      </w:r>
      <w:r w:rsidR="00EF070C">
        <w:t xml:space="preserve"> in the context of m-TRP applications</w:t>
      </w:r>
      <w:r>
        <w:t>. For TDD, one approach could be to map every N</w:t>
      </w:r>
      <w:r w:rsidR="00BE1642">
        <w:rPr>
          <w:vertAlign w:val="subscript"/>
        </w:rPr>
        <w:t>TDD</w:t>
      </w:r>
      <w:r w:rsidR="00104896">
        <w:t xml:space="preserve"> consecutive</w:t>
      </w:r>
      <w:r>
        <w:t xml:space="preserve"> slots of the K consecutive slots to one TRP </w:t>
      </w:r>
      <w:r w:rsidR="00BE1642">
        <w:t>and the next N</w:t>
      </w:r>
      <w:r w:rsidR="00BE1642">
        <w:rPr>
          <w:vertAlign w:val="subscript"/>
        </w:rPr>
        <w:t>TDD</w:t>
      </w:r>
      <w:r w:rsidR="00BE1642">
        <w:t xml:space="preserve"> subsequent consecutive slots to another TRP. This mapping is repeated until the end of the K consecutive slots,</w:t>
      </w:r>
      <w:r>
        <w:t xml:space="preserve"> where N</w:t>
      </w:r>
      <w:r w:rsidR="00BE1642">
        <w:rPr>
          <w:vertAlign w:val="subscript"/>
        </w:rPr>
        <w:t>TDD</w:t>
      </w:r>
      <w:r>
        <w:t xml:space="preserve"> is equal to </w:t>
      </w:r>
      <w:r w:rsidR="00D77529">
        <w:t>the number of slots in</w:t>
      </w:r>
      <w:r>
        <w:t xml:space="preserve"> one cycle of a TDD pattern (i.e., N=5 for DDSUU pattern)</w:t>
      </w:r>
      <w:r w:rsidR="00104896">
        <w:t xml:space="preserve"> as shown in </w:t>
      </w:r>
      <w:r w:rsidR="00EB2821">
        <w:fldChar w:fldCharType="begin"/>
      </w:r>
      <w:r w:rsidR="00EB2821">
        <w:instrText xml:space="preserve"> REF _Ref110955507 \h </w:instrText>
      </w:r>
      <w:r w:rsidR="00CF5442">
        <w:instrText xml:space="preserve"> \* MERGEFORMAT </w:instrText>
      </w:r>
      <w:r w:rsidR="00EB2821">
        <w:fldChar w:fldCharType="separate"/>
      </w:r>
      <w:r w:rsidR="00F170DE">
        <w:t xml:space="preserve">Figure </w:t>
      </w:r>
      <w:r w:rsidR="00F170DE">
        <w:rPr>
          <w:noProof/>
        </w:rPr>
        <w:t>3</w:t>
      </w:r>
      <w:r w:rsidR="00EB2821">
        <w:fldChar w:fldCharType="end"/>
      </w:r>
      <w:r>
        <w:t>.</w:t>
      </w:r>
      <w:r w:rsidR="00104896">
        <w:t xml:space="preserve"> For FDD, one approach could be to map every N</w:t>
      </w:r>
      <w:r w:rsidR="00BE1642">
        <w:rPr>
          <w:vertAlign w:val="subscript"/>
        </w:rPr>
        <w:t>TDW</w:t>
      </w:r>
      <w:r w:rsidR="00104896">
        <w:t xml:space="preserve"> consecutive slots of the K consecutive slots to one TRP </w:t>
      </w:r>
      <w:r w:rsidR="00BE1642">
        <w:t>and the next N</w:t>
      </w:r>
      <w:r w:rsidR="00BE1642">
        <w:rPr>
          <w:vertAlign w:val="subscript"/>
        </w:rPr>
        <w:t>TDW</w:t>
      </w:r>
      <w:r w:rsidR="00BE1642">
        <w:t xml:space="preserve"> subsequent consecutive slots to another TRP. This mapping is repeated until the end of the K consecutive slots,</w:t>
      </w:r>
      <w:r w:rsidR="00104896">
        <w:t xml:space="preserve"> where N</w:t>
      </w:r>
      <w:r w:rsidR="00BE1642">
        <w:rPr>
          <w:vertAlign w:val="subscript"/>
        </w:rPr>
        <w:t>TDW</w:t>
      </w:r>
      <w:r w:rsidR="00104896">
        <w:t xml:space="preserve"> is equal to nTDW length as shown in </w:t>
      </w:r>
      <w:r w:rsidR="00EB2821">
        <w:fldChar w:fldCharType="begin"/>
      </w:r>
      <w:r w:rsidR="00EB2821">
        <w:instrText xml:space="preserve"> REF _Ref110955513 \h </w:instrText>
      </w:r>
      <w:r w:rsidR="00CF5442">
        <w:instrText xml:space="preserve"> \* MERGEFORMAT </w:instrText>
      </w:r>
      <w:r w:rsidR="00EB2821">
        <w:fldChar w:fldCharType="separate"/>
      </w:r>
      <w:r w:rsidR="00F170DE">
        <w:t xml:space="preserve">Figure </w:t>
      </w:r>
      <w:r w:rsidR="00F170DE">
        <w:rPr>
          <w:noProof/>
        </w:rPr>
        <w:t>4</w:t>
      </w:r>
      <w:r w:rsidR="00EB2821">
        <w:fldChar w:fldCharType="end"/>
      </w:r>
      <w:r w:rsidR="00104896">
        <w:t>.</w:t>
      </w:r>
      <w:r w:rsidR="00570C64">
        <w:t xml:space="preserve"> It is worth noting that, although the above approach for FDD also works for TDD, it is however not optimal given that the configured nominal TDW length may be greater than the length of one TDD pattern which may lead to the switching between TRPs being less dynamic compared to the mapping per TDD pattern as mentioned above for TDD</w:t>
      </w:r>
      <w:r w:rsidR="00104896">
        <w:t>.</w:t>
      </w:r>
    </w:p>
    <w:p w14:paraId="085B63C2" w14:textId="77777777" w:rsidR="00BD5D04" w:rsidRDefault="00BD5D04" w:rsidP="00BD5D04">
      <w:pPr>
        <w:keepNext/>
        <w:jc w:val="center"/>
      </w:pPr>
      <w:r>
        <w:rPr>
          <w:noProof/>
        </w:rPr>
        <w:drawing>
          <wp:inline distT="0" distB="0" distL="0" distR="0" wp14:anchorId="2AB50815" wp14:editId="7869773A">
            <wp:extent cx="4370400" cy="225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70400" cy="2253600"/>
                    </a:xfrm>
                    <a:prstGeom prst="rect">
                      <a:avLst/>
                    </a:prstGeom>
                  </pic:spPr>
                </pic:pic>
              </a:graphicData>
            </a:graphic>
          </wp:inline>
        </w:drawing>
      </w:r>
    </w:p>
    <w:p w14:paraId="3743B183" w14:textId="16A15804" w:rsidR="007623C8" w:rsidRDefault="00BD5D04" w:rsidP="00BD5D04">
      <w:pPr>
        <w:pStyle w:val="Caption"/>
        <w:jc w:val="center"/>
      </w:pPr>
      <w:bookmarkStart w:id="11" w:name="_Ref110955507"/>
      <w:r>
        <w:t xml:space="preserve">Figure </w:t>
      </w:r>
      <w:r>
        <w:fldChar w:fldCharType="begin"/>
      </w:r>
      <w:r>
        <w:instrText xml:space="preserve"> SEQ Figure \* ARABIC </w:instrText>
      </w:r>
      <w:r>
        <w:fldChar w:fldCharType="separate"/>
      </w:r>
      <w:r w:rsidR="00F170DE">
        <w:rPr>
          <w:noProof/>
        </w:rPr>
        <w:t>3</w:t>
      </w:r>
      <w:r>
        <w:fldChar w:fldCharType="end"/>
      </w:r>
      <w:bookmarkEnd w:id="11"/>
      <w:r>
        <w:t>. Example of the proposed mapping for TDD, N</w:t>
      </w:r>
      <w:r>
        <w:rPr>
          <w:vertAlign w:val="subscript"/>
        </w:rPr>
        <w:t xml:space="preserve">TDD </w:t>
      </w:r>
      <w:r>
        <w:t>= 5.</w:t>
      </w:r>
    </w:p>
    <w:p w14:paraId="30CD6D83" w14:textId="77777777" w:rsidR="00BD5D04" w:rsidRDefault="00BD5D04" w:rsidP="00BD5D04">
      <w:pPr>
        <w:keepNext/>
        <w:jc w:val="center"/>
      </w:pPr>
      <w:r>
        <w:rPr>
          <w:noProof/>
        </w:rPr>
        <w:drawing>
          <wp:inline distT="0" distB="0" distL="0" distR="0" wp14:anchorId="2589105C" wp14:editId="08092467">
            <wp:extent cx="4248000" cy="22356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248000" cy="2235600"/>
                    </a:xfrm>
                    <a:prstGeom prst="rect">
                      <a:avLst/>
                    </a:prstGeom>
                  </pic:spPr>
                </pic:pic>
              </a:graphicData>
            </a:graphic>
          </wp:inline>
        </w:drawing>
      </w:r>
    </w:p>
    <w:p w14:paraId="430A9596" w14:textId="1A0B3E5B" w:rsidR="00BD5D04" w:rsidRPr="00BD5D04" w:rsidRDefault="00BD5D04" w:rsidP="00BD5D04">
      <w:pPr>
        <w:pStyle w:val="Caption"/>
        <w:jc w:val="center"/>
      </w:pPr>
      <w:bookmarkStart w:id="12" w:name="_Ref110955513"/>
      <w:r>
        <w:t xml:space="preserve">Figure </w:t>
      </w:r>
      <w:r>
        <w:fldChar w:fldCharType="begin"/>
      </w:r>
      <w:r>
        <w:instrText xml:space="preserve"> SEQ Figure \* ARABIC </w:instrText>
      </w:r>
      <w:r>
        <w:fldChar w:fldCharType="separate"/>
      </w:r>
      <w:r w:rsidR="00F170DE">
        <w:rPr>
          <w:noProof/>
        </w:rPr>
        <w:t>4</w:t>
      </w:r>
      <w:r>
        <w:fldChar w:fldCharType="end"/>
      </w:r>
      <w:bookmarkEnd w:id="12"/>
      <w:r>
        <w:t>. Example of the proposed mapping for FDD, N</w:t>
      </w:r>
      <w:r>
        <w:rPr>
          <w:vertAlign w:val="subscript"/>
        </w:rPr>
        <w:t xml:space="preserve">TDW </w:t>
      </w:r>
      <w:r>
        <w:t xml:space="preserve">= 4. </w:t>
      </w:r>
    </w:p>
    <w:p w14:paraId="0E333E3F" w14:textId="77777777" w:rsidR="00EC382C" w:rsidRDefault="00EC382C" w:rsidP="000311B3">
      <w:pPr>
        <w:jc w:val="both"/>
      </w:pPr>
    </w:p>
    <w:p w14:paraId="5B4938FC" w14:textId="4C9387CB" w:rsidR="00E47885" w:rsidRDefault="00CF5442" w:rsidP="00CF5442">
      <w:pPr>
        <w:spacing w:line="276" w:lineRule="auto"/>
        <w:jc w:val="both"/>
      </w:pPr>
      <w:r>
        <w:t>For PUCCH repetitions, as shown in the above specs excerpt</w:t>
      </w:r>
      <w:r w:rsidRPr="00CF5442">
        <w:t>,</w:t>
      </w:r>
      <w:r>
        <w:t xml:space="preserve"> the current</w:t>
      </w:r>
      <w:r w:rsidRPr="00CF5442">
        <w:t xml:space="preserve"> cyclic mapping and sequential mapping are also </w:t>
      </w:r>
      <w:r>
        <w:t>applicable</w:t>
      </w:r>
      <w:r w:rsidRPr="00CF5442">
        <w:t>. However, different from the mapping for PUSCH repetitions which is done on consecutive slots, the mapping for PUCCH repetitions is done on the slots available for uplink transmissions.</w:t>
      </w:r>
      <w:r>
        <w:t xml:space="preserve"> T</w:t>
      </w:r>
      <w:r w:rsidRPr="00CF5442">
        <w:t>he above</w:t>
      </w:r>
      <w:r>
        <w:t>-</w:t>
      </w:r>
      <w:r w:rsidRPr="00CF5442">
        <w:t>mentioned challenges</w:t>
      </w:r>
      <w:r>
        <w:t xml:space="preserve"> for </w:t>
      </w:r>
      <w:r>
        <w:lastRenderedPageBreak/>
        <w:t>PUSCH repetitions</w:t>
      </w:r>
      <w:r w:rsidRPr="00CF5442">
        <w:t xml:space="preserve"> are also applicable</w:t>
      </w:r>
      <w:r>
        <w:t xml:space="preserve"> for PUCCH repetitions</w:t>
      </w:r>
      <w:r w:rsidRPr="00CF5442">
        <w:t xml:space="preserve">, wherein the mapping of PUCCH repetitions to m-TRP is realized in the form of mapping different spatial settings or different power control parameters sets on different PUCCH repetitions. </w:t>
      </w:r>
    </w:p>
    <w:p w14:paraId="1694E5EB" w14:textId="769C0A6F" w:rsidR="007623C8" w:rsidRDefault="007623C8" w:rsidP="000311B3">
      <w:pPr>
        <w:jc w:val="both"/>
      </w:pPr>
      <w:r>
        <w:t>Therefore, we propose the following:</w:t>
      </w:r>
    </w:p>
    <w:p w14:paraId="3E82F5AE" w14:textId="68A2A5B4" w:rsidR="00104896" w:rsidRDefault="00A84314" w:rsidP="00A84314">
      <w:pPr>
        <w:pStyle w:val="Caption"/>
      </w:pPr>
      <w:r>
        <w:t xml:space="preserve">Proposal </w:t>
      </w:r>
      <w:r>
        <w:fldChar w:fldCharType="begin"/>
      </w:r>
      <w:r>
        <w:instrText xml:space="preserve"> SEQ Proposal \* ARABIC </w:instrText>
      </w:r>
      <w:r>
        <w:fldChar w:fldCharType="separate"/>
      </w:r>
      <w:r>
        <w:rPr>
          <w:noProof/>
        </w:rPr>
        <w:t>5</w:t>
      </w:r>
      <w:r>
        <w:fldChar w:fldCharType="end"/>
      </w:r>
      <w:r>
        <w:t xml:space="preserve">. </w:t>
      </w:r>
      <w:r w:rsidR="00D77529">
        <w:t xml:space="preserve">RAN1 to adopt the following mapping approaches for the </w:t>
      </w:r>
      <w:r w:rsidR="00D77529" w:rsidRPr="00EF070C">
        <w:t>mapping of SRS resource sets for PUSCH repetition type A</w:t>
      </w:r>
      <w:r w:rsidR="00CF5442" w:rsidRPr="00EF070C">
        <w:t xml:space="preserve"> </w:t>
      </w:r>
      <w:r w:rsidR="00D77529" w:rsidRPr="00EF070C">
        <w:t>when joint channel estimation is enabled (which</w:t>
      </w:r>
      <w:r w:rsidR="00CF5442" w:rsidRPr="00EF070C">
        <w:t xml:space="preserve"> </w:t>
      </w:r>
      <w:r w:rsidR="006C59D2" w:rsidRPr="00EF070C">
        <w:t>is</w:t>
      </w:r>
      <w:r w:rsidR="00D77529" w:rsidRPr="00EF070C">
        <w:t xml:space="preserve"> also summarized in </w:t>
      </w:r>
      <w:r w:rsidR="006C59D2" w:rsidRPr="00EF070C">
        <w:t xml:space="preserve">a </w:t>
      </w:r>
      <w:r w:rsidR="00D77529" w:rsidRPr="00EF070C">
        <w:t>CR</w:t>
      </w:r>
      <w:r w:rsidR="00CF5442" w:rsidRPr="00EF070C">
        <w:t xml:space="preserve"> in </w:t>
      </w:r>
      <w:r w:rsidR="00D77529" w:rsidRPr="00EF070C">
        <w:t>R1-</w:t>
      </w:r>
      <w:r w:rsidR="00EF070C" w:rsidRPr="00EF070C">
        <w:t>2207104</w:t>
      </w:r>
      <w:r w:rsidR="00D77529" w:rsidRPr="00EF070C">
        <w:t>):</w:t>
      </w:r>
    </w:p>
    <w:p w14:paraId="3696D703" w14:textId="51926B6C" w:rsidR="00D77529" w:rsidRPr="007623C8" w:rsidRDefault="00D77529" w:rsidP="00576087">
      <w:pPr>
        <w:pStyle w:val="ListParagraph"/>
        <w:numPr>
          <w:ilvl w:val="0"/>
          <w:numId w:val="48"/>
        </w:numPr>
        <w:jc w:val="both"/>
        <w:rPr>
          <w:b/>
          <w:lang w:val="en-US"/>
        </w:rPr>
      </w:pPr>
      <w:r w:rsidRPr="007623C8">
        <w:rPr>
          <w:b/>
          <w:lang w:val="en-US"/>
        </w:rPr>
        <w:t>For TDD, the first and second SRS resource sets</w:t>
      </w:r>
      <w:r w:rsidR="006C59D2">
        <w:rPr>
          <w:b/>
          <w:lang w:val="en-US"/>
        </w:rPr>
        <w:t xml:space="preserve"> </w:t>
      </w:r>
      <w:r w:rsidRPr="007623C8">
        <w:rPr>
          <w:b/>
          <w:lang w:val="en-US"/>
        </w:rPr>
        <w:t xml:space="preserve">are applied to the first </w:t>
      </w:r>
      <w:r w:rsidRPr="007623C8">
        <w:rPr>
          <w:b/>
          <w:bCs/>
          <w:lang w:val="en-US"/>
        </w:rPr>
        <w:t>N</w:t>
      </w:r>
      <w:r w:rsidR="00BE1642">
        <w:rPr>
          <w:b/>
          <w:bCs/>
          <w:vertAlign w:val="subscript"/>
          <w:lang w:val="en-US"/>
        </w:rPr>
        <w:t>TDD</w:t>
      </w:r>
      <w:r w:rsidRPr="007623C8">
        <w:rPr>
          <w:b/>
          <w:lang w:val="en-US"/>
        </w:rPr>
        <w:t xml:space="preserve"> slots and the second </w:t>
      </w:r>
      <w:r w:rsidRPr="007623C8">
        <w:rPr>
          <w:b/>
          <w:bCs/>
          <w:lang w:val="en-US"/>
        </w:rPr>
        <w:t>N</w:t>
      </w:r>
      <w:r w:rsidR="00BE1642">
        <w:rPr>
          <w:b/>
          <w:bCs/>
          <w:vertAlign w:val="subscript"/>
          <w:lang w:val="en-US"/>
        </w:rPr>
        <w:t>TDD</w:t>
      </w:r>
      <w:r>
        <w:rPr>
          <w:b/>
          <w:lang w:val="en-US"/>
        </w:rPr>
        <w:t xml:space="preserve"> </w:t>
      </w:r>
      <w:r w:rsidR="007623C8">
        <w:rPr>
          <w:b/>
          <w:bCs/>
          <w:lang w:val="en-US"/>
        </w:rPr>
        <w:t>subsequen</w:t>
      </w:r>
      <w:r w:rsidR="006C59D2">
        <w:rPr>
          <w:b/>
          <w:bCs/>
          <w:lang w:val="en-US"/>
        </w:rPr>
        <w:t>t</w:t>
      </w:r>
      <w:r w:rsidRPr="007623C8">
        <w:rPr>
          <w:b/>
          <w:bCs/>
          <w:lang w:val="en-US"/>
        </w:rPr>
        <w:t xml:space="preserve"> </w:t>
      </w:r>
      <w:r w:rsidRPr="007623C8">
        <w:rPr>
          <w:b/>
          <w:lang w:val="en-US"/>
        </w:rPr>
        <w:t>slots</w:t>
      </w:r>
      <w:r w:rsidR="006C59D2">
        <w:rPr>
          <w:b/>
          <w:lang w:val="en-US"/>
        </w:rPr>
        <w:t>,</w:t>
      </w:r>
      <w:r w:rsidRPr="007623C8">
        <w:rPr>
          <w:b/>
          <w:lang w:val="en-US"/>
        </w:rPr>
        <w:t xml:space="preserve"> respectively, where </w:t>
      </w:r>
      <w:r w:rsidRPr="007623C8">
        <w:rPr>
          <w:b/>
          <w:bCs/>
          <w:lang w:val="en-US"/>
        </w:rPr>
        <w:t>N</w:t>
      </w:r>
      <w:r w:rsidR="00BE1642">
        <w:rPr>
          <w:b/>
          <w:bCs/>
          <w:vertAlign w:val="subscript"/>
          <w:lang w:val="en-US"/>
        </w:rPr>
        <w:t>TDD</w:t>
      </w:r>
      <w:r w:rsidRPr="007623C8">
        <w:rPr>
          <w:b/>
          <w:lang w:val="en-US"/>
        </w:rPr>
        <w:t xml:space="preserve"> equal</w:t>
      </w:r>
      <w:r w:rsidR="008275D8">
        <w:rPr>
          <w:b/>
          <w:lang w:val="en-US"/>
        </w:rPr>
        <w:t>s</w:t>
      </w:r>
      <w:r w:rsidRPr="007623C8">
        <w:rPr>
          <w:b/>
          <w:lang w:val="en-US"/>
        </w:rPr>
        <w:t xml:space="preserve"> the number of slots in one cycle of a TDD pattern.</w:t>
      </w:r>
    </w:p>
    <w:p w14:paraId="48827D58" w14:textId="7B8DC5E0" w:rsidR="00D93E61" w:rsidRDefault="00D77529" w:rsidP="00D93E61">
      <w:pPr>
        <w:pStyle w:val="ListParagraph"/>
        <w:numPr>
          <w:ilvl w:val="0"/>
          <w:numId w:val="48"/>
        </w:numPr>
        <w:jc w:val="both"/>
        <w:rPr>
          <w:b/>
          <w:lang w:val="en-US"/>
        </w:rPr>
      </w:pPr>
      <w:r w:rsidRPr="007623C8">
        <w:rPr>
          <w:b/>
          <w:lang w:val="en-US"/>
        </w:rPr>
        <w:t xml:space="preserve">For FDD, </w:t>
      </w:r>
      <w:r w:rsidR="00576087" w:rsidRPr="007623C8">
        <w:rPr>
          <w:b/>
          <w:lang w:val="en-US"/>
        </w:rPr>
        <w:t>the first and second SRS resource sets are applied to the first N</w:t>
      </w:r>
      <w:r w:rsidR="00576087" w:rsidRPr="007623C8">
        <w:rPr>
          <w:b/>
          <w:vertAlign w:val="subscript"/>
          <w:lang w:val="en-US"/>
        </w:rPr>
        <w:t>TDW</w:t>
      </w:r>
      <w:r w:rsidR="00576087" w:rsidRPr="007623C8">
        <w:rPr>
          <w:b/>
          <w:lang w:val="en-US"/>
        </w:rPr>
        <w:t xml:space="preserve"> slots and the second N</w:t>
      </w:r>
      <w:r w:rsidR="00576087" w:rsidRPr="007623C8">
        <w:rPr>
          <w:b/>
          <w:vertAlign w:val="subscript"/>
          <w:lang w:val="en-US"/>
        </w:rPr>
        <w:t>TDW</w:t>
      </w:r>
      <w:r w:rsidR="00576087" w:rsidRPr="007623C8">
        <w:rPr>
          <w:b/>
          <w:lang w:val="en-US"/>
        </w:rPr>
        <w:t xml:space="preserve"> </w:t>
      </w:r>
      <w:r w:rsidR="006C59D2">
        <w:rPr>
          <w:b/>
          <w:lang w:val="en-US"/>
        </w:rPr>
        <w:t>subsequent</w:t>
      </w:r>
      <w:r w:rsidR="00576087" w:rsidRPr="007623C8">
        <w:rPr>
          <w:b/>
          <w:lang w:val="en-US"/>
        </w:rPr>
        <w:t xml:space="preserve"> slots, respectively, where N</w:t>
      </w:r>
      <w:r w:rsidR="00576087" w:rsidRPr="007623C8">
        <w:rPr>
          <w:b/>
          <w:vertAlign w:val="subscript"/>
          <w:lang w:val="en-US"/>
        </w:rPr>
        <w:t>TDW</w:t>
      </w:r>
      <w:r w:rsidR="00576087" w:rsidRPr="007623C8">
        <w:rPr>
          <w:b/>
          <w:lang w:val="en-US"/>
        </w:rPr>
        <w:t xml:space="preserve"> </w:t>
      </w:r>
      <w:r w:rsidR="008275D8">
        <w:rPr>
          <w:b/>
          <w:lang w:val="en-US"/>
        </w:rPr>
        <w:t xml:space="preserve">equals </w:t>
      </w:r>
      <w:r w:rsidR="00576087" w:rsidRPr="007623C8">
        <w:rPr>
          <w:b/>
          <w:lang w:val="en-US"/>
        </w:rPr>
        <w:t>the length of nominal time domain window.</w:t>
      </w:r>
    </w:p>
    <w:p w14:paraId="2B48E847" w14:textId="77777777" w:rsidR="00E618EB" w:rsidRDefault="00E618EB" w:rsidP="00E618EB">
      <w:pPr>
        <w:pStyle w:val="ListParagraph"/>
        <w:jc w:val="both"/>
        <w:rPr>
          <w:b/>
          <w:lang w:val="en-US"/>
        </w:rPr>
      </w:pPr>
    </w:p>
    <w:p w14:paraId="1C9B0A92" w14:textId="5E0D5B35" w:rsidR="006C59D2" w:rsidRDefault="006C59D2" w:rsidP="006C59D2">
      <w:pPr>
        <w:pStyle w:val="Caption"/>
      </w:pPr>
      <w:r>
        <w:t xml:space="preserve">Proposal </w:t>
      </w:r>
      <w:r>
        <w:fldChar w:fldCharType="begin"/>
      </w:r>
      <w:r>
        <w:instrText xml:space="preserve"> SEQ Proposal \* ARABIC </w:instrText>
      </w:r>
      <w:r>
        <w:fldChar w:fldCharType="separate"/>
      </w:r>
      <w:r>
        <w:rPr>
          <w:noProof/>
        </w:rPr>
        <w:t>6</w:t>
      </w:r>
      <w:r>
        <w:fldChar w:fldCharType="end"/>
      </w:r>
      <w:r>
        <w:t>. RAN1 to adopt the following mapping approaches for the mapping of spatial settings or power control parameters</w:t>
      </w:r>
      <w:r w:rsidRPr="00D77529">
        <w:t xml:space="preserve"> sets for PU</w:t>
      </w:r>
      <w:r>
        <w:t>C</w:t>
      </w:r>
      <w:r w:rsidRPr="00D77529">
        <w:t xml:space="preserve">CH repetition </w:t>
      </w:r>
      <w:r>
        <w:t xml:space="preserve">when joint channel estimation is enabled (which is also </w:t>
      </w:r>
      <w:r w:rsidRPr="00EF070C">
        <w:t>summarized in a CR in R1-</w:t>
      </w:r>
      <w:r w:rsidR="00EF070C" w:rsidRPr="00EF070C">
        <w:t>2207103</w:t>
      </w:r>
      <w:r w:rsidRPr="00EF070C">
        <w:t>):</w:t>
      </w:r>
    </w:p>
    <w:p w14:paraId="02F13971" w14:textId="2A47B45F" w:rsidR="006C59D2" w:rsidRPr="008275D8" w:rsidRDefault="006C59D2" w:rsidP="006C59D2">
      <w:pPr>
        <w:pStyle w:val="ListParagraph"/>
        <w:numPr>
          <w:ilvl w:val="0"/>
          <w:numId w:val="48"/>
        </w:numPr>
        <w:jc w:val="both"/>
        <w:rPr>
          <w:b/>
          <w:lang w:val="en-US"/>
        </w:rPr>
      </w:pPr>
      <w:r w:rsidRPr="007623C8">
        <w:rPr>
          <w:b/>
          <w:lang w:val="en-US"/>
        </w:rPr>
        <w:t xml:space="preserve">For TDD, the first and </w:t>
      </w:r>
      <w:r w:rsidRPr="008275D8">
        <w:rPr>
          <w:b/>
          <w:lang w:val="en-US"/>
        </w:rPr>
        <w:t xml:space="preserve">second </w:t>
      </w:r>
      <w:r w:rsidR="008275D8" w:rsidRPr="008275D8">
        <w:rPr>
          <w:b/>
          <w:bCs/>
          <w:lang w:val="en-US"/>
        </w:rPr>
        <w:t>spatial settings or power control parameters sets</w:t>
      </w:r>
      <w:r w:rsidR="008275D8" w:rsidRPr="008275D8">
        <w:rPr>
          <w:b/>
          <w:lang w:val="en-US"/>
        </w:rPr>
        <w:t xml:space="preserve"> </w:t>
      </w:r>
      <w:r w:rsidRPr="008275D8">
        <w:rPr>
          <w:b/>
          <w:lang w:val="en-US"/>
        </w:rPr>
        <w:t xml:space="preserve">are applied to the first </w:t>
      </w:r>
      <w:r w:rsidRPr="008275D8">
        <w:rPr>
          <w:b/>
          <w:bCs/>
          <w:lang w:val="en-US"/>
        </w:rPr>
        <w:t>N</w:t>
      </w:r>
      <w:r w:rsidRPr="008275D8">
        <w:rPr>
          <w:b/>
          <w:bCs/>
          <w:vertAlign w:val="subscript"/>
          <w:lang w:val="en-US"/>
        </w:rPr>
        <w:t>TDD</w:t>
      </w:r>
      <w:r w:rsidRPr="008275D8">
        <w:rPr>
          <w:b/>
          <w:lang w:val="en-US"/>
        </w:rPr>
        <w:t xml:space="preserve"> slots and the second </w:t>
      </w:r>
      <w:r w:rsidRPr="008275D8">
        <w:rPr>
          <w:b/>
          <w:bCs/>
          <w:lang w:val="en-US"/>
        </w:rPr>
        <w:t>N</w:t>
      </w:r>
      <w:r w:rsidRPr="008275D8">
        <w:rPr>
          <w:b/>
          <w:bCs/>
          <w:vertAlign w:val="subscript"/>
          <w:lang w:val="en-US"/>
        </w:rPr>
        <w:t>TDD</w:t>
      </w:r>
      <w:r w:rsidRPr="008275D8">
        <w:rPr>
          <w:b/>
          <w:lang w:val="en-US"/>
        </w:rPr>
        <w:t xml:space="preserve"> </w:t>
      </w:r>
      <w:r w:rsidRPr="008275D8">
        <w:rPr>
          <w:b/>
          <w:bCs/>
          <w:lang w:val="en-US"/>
        </w:rPr>
        <w:t xml:space="preserve">subsequent </w:t>
      </w:r>
      <w:r w:rsidRPr="008275D8">
        <w:rPr>
          <w:b/>
          <w:lang w:val="en-US"/>
        </w:rPr>
        <w:t xml:space="preserve">slots, respectively, where </w:t>
      </w:r>
      <w:r w:rsidRPr="008275D8">
        <w:rPr>
          <w:b/>
          <w:bCs/>
          <w:lang w:val="en-US"/>
        </w:rPr>
        <w:t>N</w:t>
      </w:r>
      <w:r w:rsidRPr="008275D8">
        <w:rPr>
          <w:b/>
          <w:bCs/>
          <w:vertAlign w:val="subscript"/>
          <w:lang w:val="en-US"/>
        </w:rPr>
        <w:t>TDD</w:t>
      </w:r>
      <w:r w:rsidRPr="008275D8">
        <w:rPr>
          <w:b/>
          <w:lang w:val="en-US"/>
        </w:rPr>
        <w:t xml:space="preserve"> equal</w:t>
      </w:r>
      <w:r w:rsidR="008275D8">
        <w:rPr>
          <w:b/>
          <w:lang w:val="en-US"/>
        </w:rPr>
        <w:t>s</w:t>
      </w:r>
      <w:r w:rsidRPr="008275D8">
        <w:rPr>
          <w:b/>
          <w:lang w:val="en-US"/>
        </w:rPr>
        <w:t xml:space="preserve"> the number of available slots in one cycle of a TDD pattern.</w:t>
      </w:r>
    </w:p>
    <w:p w14:paraId="77ACA7E9" w14:textId="2378FF6E" w:rsidR="00E618EB" w:rsidRPr="009C0EF5" w:rsidRDefault="006C59D2" w:rsidP="00E618EB">
      <w:pPr>
        <w:pStyle w:val="ListParagraph"/>
        <w:numPr>
          <w:ilvl w:val="0"/>
          <w:numId w:val="48"/>
        </w:numPr>
        <w:jc w:val="both"/>
        <w:rPr>
          <w:b/>
          <w:lang w:val="en-US"/>
        </w:rPr>
      </w:pPr>
      <w:r w:rsidRPr="008275D8">
        <w:rPr>
          <w:b/>
          <w:lang w:val="en-US"/>
        </w:rPr>
        <w:t xml:space="preserve">For FDD, the first and second </w:t>
      </w:r>
      <w:r w:rsidR="008275D8" w:rsidRPr="008275D8">
        <w:rPr>
          <w:b/>
          <w:bCs/>
          <w:lang w:val="en-US"/>
        </w:rPr>
        <w:t>spatial settings or power control parameters sets</w:t>
      </w:r>
      <w:r w:rsidR="008275D8" w:rsidRPr="008275D8">
        <w:rPr>
          <w:b/>
          <w:lang w:val="en-US"/>
        </w:rPr>
        <w:t xml:space="preserve"> </w:t>
      </w:r>
      <w:r w:rsidRPr="008275D8">
        <w:rPr>
          <w:b/>
          <w:lang w:val="en-US"/>
        </w:rPr>
        <w:t>are applied to the first N</w:t>
      </w:r>
      <w:r w:rsidRPr="008275D8">
        <w:rPr>
          <w:b/>
          <w:vertAlign w:val="subscript"/>
          <w:lang w:val="en-US"/>
        </w:rPr>
        <w:t>TDW</w:t>
      </w:r>
      <w:r w:rsidRPr="008275D8">
        <w:rPr>
          <w:b/>
          <w:lang w:val="en-US"/>
        </w:rPr>
        <w:t xml:space="preserve"> slots and the second N</w:t>
      </w:r>
      <w:r w:rsidRPr="008275D8">
        <w:rPr>
          <w:b/>
          <w:vertAlign w:val="subscript"/>
          <w:lang w:val="en-US"/>
        </w:rPr>
        <w:t>TDW</w:t>
      </w:r>
      <w:r w:rsidRPr="008275D8">
        <w:rPr>
          <w:b/>
          <w:lang w:val="en-US"/>
        </w:rPr>
        <w:t xml:space="preserve"> subsequent slots, respectively, where N</w:t>
      </w:r>
      <w:r w:rsidRPr="008275D8">
        <w:rPr>
          <w:b/>
          <w:vertAlign w:val="subscript"/>
          <w:lang w:val="en-US"/>
        </w:rPr>
        <w:t>TDW</w:t>
      </w:r>
      <w:r w:rsidRPr="008275D8">
        <w:rPr>
          <w:b/>
          <w:lang w:val="en-US"/>
        </w:rPr>
        <w:t xml:space="preserve"> </w:t>
      </w:r>
      <w:r w:rsidR="008275D8">
        <w:rPr>
          <w:b/>
          <w:lang w:val="en-US"/>
        </w:rPr>
        <w:t>equals the</w:t>
      </w:r>
      <w:r w:rsidRPr="008275D8">
        <w:rPr>
          <w:b/>
          <w:lang w:val="en-US"/>
        </w:rPr>
        <w:t xml:space="preserve"> length of nominal time domain window.</w:t>
      </w:r>
    </w:p>
    <w:p w14:paraId="10445A01" w14:textId="7DCE7018" w:rsidR="00885580" w:rsidRPr="00FF3F81" w:rsidRDefault="007820D0" w:rsidP="004B30AE">
      <w:pPr>
        <w:pStyle w:val="Heading1"/>
        <w:spacing w:line="276" w:lineRule="auto"/>
        <w:rPr>
          <w:lang w:val="en-US"/>
        </w:rPr>
      </w:pPr>
      <w:bookmarkStart w:id="13" w:name="_Toc67700564"/>
      <w:bookmarkEnd w:id="3"/>
      <w:r w:rsidRPr="00FF3F81">
        <w:rPr>
          <w:lang w:val="en-US"/>
        </w:rPr>
        <w:t>Conclusion</w:t>
      </w:r>
      <w:bookmarkEnd w:id="13"/>
    </w:p>
    <w:p w14:paraId="16B72FE6" w14:textId="1040919D" w:rsidR="00EF070C" w:rsidRDefault="005E663E" w:rsidP="00B0560D">
      <w:pPr>
        <w:pStyle w:val="Caption"/>
        <w:jc w:val="both"/>
        <w:rPr>
          <w:b w:val="0"/>
          <w:bCs/>
          <w:lang w:val="en-US" w:eastAsia="zh-CN"/>
        </w:rPr>
      </w:pPr>
      <w:r w:rsidRPr="005E663E">
        <w:rPr>
          <w:b w:val="0"/>
          <w:bCs/>
          <w:lang w:val="en-US" w:eastAsia="zh-CN"/>
        </w:rPr>
        <w:t>In this contribution we have discussed the remaining issues on joint channel estimation for PUSCH and PUCCH</w:t>
      </w:r>
      <w:r w:rsidR="00EF070C">
        <w:rPr>
          <w:b w:val="0"/>
          <w:bCs/>
          <w:lang w:val="en-US" w:eastAsia="zh-CN"/>
        </w:rPr>
        <w:t>. The following observations were made:</w:t>
      </w:r>
    </w:p>
    <w:p w14:paraId="181EDC20" w14:textId="77777777" w:rsidR="00EF070C" w:rsidRPr="00EF070C" w:rsidRDefault="00EF070C" w:rsidP="00EF070C">
      <w:pPr>
        <w:rPr>
          <w:lang w:val="en-US" w:eastAsia="zh-CN"/>
        </w:rPr>
      </w:pPr>
    </w:p>
    <w:p w14:paraId="19DE1347" w14:textId="77777777" w:rsidR="00EF070C" w:rsidRDefault="00EF070C" w:rsidP="00EF070C">
      <w:pPr>
        <w:pStyle w:val="Caption"/>
        <w:rPr>
          <w:bCs/>
        </w:rPr>
      </w:pPr>
      <w:r>
        <w:t xml:space="preserve">Observation 1. </w:t>
      </w:r>
      <w:r>
        <w:rPr>
          <w:bCs/>
        </w:rPr>
        <w:t>W</w:t>
      </w:r>
      <w:r w:rsidRPr="004245ED">
        <w:rPr>
          <w:bCs/>
        </w:rPr>
        <w:t>hen available, both m-TRP</w:t>
      </w:r>
      <w:r>
        <w:rPr>
          <w:b w:val="0"/>
          <w:bCs/>
        </w:rPr>
        <w:t xml:space="preserve"> </w:t>
      </w:r>
      <w:r w:rsidRPr="002D2812">
        <w:t xml:space="preserve">transmission </w:t>
      </w:r>
      <w:r w:rsidRPr="004245ED">
        <w:rPr>
          <w:bCs/>
        </w:rPr>
        <w:t xml:space="preserve">and joint channel estimation </w:t>
      </w:r>
      <w:r>
        <w:rPr>
          <w:bCs/>
        </w:rPr>
        <w:t xml:space="preserve">for PUSCH repetition type A </w:t>
      </w:r>
      <w:r w:rsidRPr="004245ED">
        <w:rPr>
          <w:bCs/>
        </w:rPr>
        <w:t>are helpful for extending coverage if they are used together.</w:t>
      </w:r>
    </w:p>
    <w:p w14:paraId="77965651" w14:textId="77777777" w:rsidR="00EF070C" w:rsidRDefault="00EF070C" w:rsidP="00EF070C">
      <w:pPr>
        <w:pStyle w:val="Caption"/>
      </w:pPr>
      <w:r>
        <w:t xml:space="preserve">Observation </w:t>
      </w:r>
      <w:r>
        <w:fldChar w:fldCharType="begin"/>
      </w:r>
      <w:r>
        <w:instrText xml:space="preserve"> SEQ Observation \* ARABIC </w:instrText>
      </w:r>
      <w:r>
        <w:fldChar w:fldCharType="separate"/>
      </w:r>
      <w:r>
        <w:rPr>
          <w:noProof/>
        </w:rPr>
        <w:t>2</w:t>
      </w:r>
      <w:r>
        <w:fldChar w:fldCharType="end"/>
      </w:r>
      <w:r>
        <w:t>. T</w:t>
      </w:r>
      <w:r w:rsidRPr="002D2812">
        <w:t xml:space="preserve">he legacy cyclic mapping and sequential mapping of SRS resource sets for PUSCH repetition type A are not </w:t>
      </w:r>
      <w:r>
        <w:t>suitable</w:t>
      </w:r>
      <w:r w:rsidRPr="002D2812">
        <w:t xml:space="preserve"> for joint channel estimation</w:t>
      </w:r>
      <w:r>
        <w:t xml:space="preserve"> in the context of m-TRP applications.</w:t>
      </w:r>
    </w:p>
    <w:p w14:paraId="5D7A6539" w14:textId="77777777" w:rsidR="00EF070C" w:rsidRDefault="00EF070C" w:rsidP="00EF070C">
      <w:pPr>
        <w:pStyle w:val="Caption"/>
        <w:jc w:val="both"/>
      </w:pPr>
      <w:r>
        <w:t xml:space="preserve">Observation </w:t>
      </w:r>
      <w:r>
        <w:fldChar w:fldCharType="begin"/>
      </w:r>
      <w:r>
        <w:instrText xml:space="preserve"> SEQ Observation \* ARABIC </w:instrText>
      </w:r>
      <w:r>
        <w:fldChar w:fldCharType="separate"/>
      </w:r>
      <w:r>
        <w:rPr>
          <w:noProof/>
        </w:rPr>
        <w:t>3</w:t>
      </w:r>
      <w:r>
        <w:fldChar w:fldCharType="end"/>
      </w:r>
      <w:r>
        <w:t xml:space="preserve">. In TDD, </w:t>
      </w:r>
      <w:r w:rsidRPr="0039756D">
        <w:t>for both cyclic mapping and sequential mapping</w:t>
      </w:r>
      <w:r>
        <w:t xml:space="preserve"> of SRS resource sets for PUSCH repetition type A</w:t>
      </w:r>
      <w:r w:rsidRPr="0039756D">
        <w:t xml:space="preserve">, cases </w:t>
      </w:r>
      <w:r>
        <w:t>in which</w:t>
      </w:r>
      <w:r w:rsidRPr="0039756D">
        <w:t xml:space="preserve"> the back-to-back UL slots are mapped with different SRS resource sets</w:t>
      </w:r>
      <w:r>
        <w:t xml:space="preserve"> can easily occur</w:t>
      </w:r>
      <w:r w:rsidRPr="0039756D">
        <w:t>, and hence, joint channel estimation cannot be applied for PUSCH transmissions on these slots.</w:t>
      </w:r>
    </w:p>
    <w:p w14:paraId="3B8A2907" w14:textId="77777777" w:rsidR="00EF070C" w:rsidRDefault="00EF070C" w:rsidP="00EF070C">
      <w:pPr>
        <w:pStyle w:val="Caption"/>
        <w:spacing w:line="276" w:lineRule="auto"/>
        <w:jc w:val="both"/>
      </w:pPr>
      <w:r>
        <w:t xml:space="preserve">Observation </w:t>
      </w:r>
      <w:r>
        <w:fldChar w:fldCharType="begin"/>
      </w:r>
      <w:r>
        <w:instrText xml:space="preserve"> SEQ Observation \* ARABIC </w:instrText>
      </w:r>
      <w:r>
        <w:fldChar w:fldCharType="separate"/>
      </w:r>
      <w:r>
        <w:rPr>
          <w:noProof/>
        </w:rPr>
        <w:t>4</w:t>
      </w:r>
      <w:r>
        <w:fldChar w:fldCharType="end"/>
      </w:r>
      <w:r>
        <w:t xml:space="preserve">. In FDD, for cyclic </w:t>
      </w:r>
      <w:r w:rsidRPr="0039756D">
        <w:t>mapping</w:t>
      </w:r>
      <w:r>
        <w:t xml:space="preserve"> of SRS resource sets for PUSCH repetition type A</w:t>
      </w:r>
      <w:r w:rsidRPr="0039756D">
        <w:t>,</w:t>
      </w:r>
      <w:r>
        <w:t xml:space="preserve"> </w:t>
      </w:r>
      <w:r w:rsidRPr="0039756D">
        <w:t>joint channel estimation cannot be applied across any pair of consecutive PUSCHs since they are mapped with different SRS resource sets.</w:t>
      </w:r>
    </w:p>
    <w:p w14:paraId="3E54CBE8" w14:textId="77777777" w:rsidR="00EF070C" w:rsidRDefault="00EF070C" w:rsidP="00EF070C">
      <w:pPr>
        <w:pStyle w:val="Caption"/>
        <w:spacing w:line="276" w:lineRule="auto"/>
        <w:jc w:val="both"/>
      </w:pPr>
      <w:r>
        <w:t xml:space="preserve">Observation </w:t>
      </w:r>
      <w:r>
        <w:fldChar w:fldCharType="begin"/>
      </w:r>
      <w:r>
        <w:instrText xml:space="preserve"> SEQ Observation \* ARABIC </w:instrText>
      </w:r>
      <w:r>
        <w:fldChar w:fldCharType="separate"/>
      </w:r>
      <w:r>
        <w:rPr>
          <w:noProof/>
        </w:rPr>
        <w:t>5</w:t>
      </w:r>
      <w:r>
        <w:fldChar w:fldCharType="end"/>
      </w:r>
      <w:r>
        <w:t xml:space="preserve">. In FDD, for sequential </w:t>
      </w:r>
      <w:r w:rsidRPr="0039756D">
        <w:t>mapping</w:t>
      </w:r>
      <w:r>
        <w:t xml:space="preserve"> of SRS resource sets for PUSCH repetition type A</w:t>
      </w:r>
      <w:r w:rsidRPr="0039756D">
        <w:t>,</w:t>
      </w:r>
      <w:r>
        <w:t xml:space="preserve"> </w:t>
      </w:r>
      <w:r w:rsidRPr="00C1596E">
        <w:t>the maximum aTDW length is 2 regardless of the nTDW length</w:t>
      </w:r>
      <w:r>
        <w:t>, wh</w:t>
      </w:r>
      <w:r w:rsidRPr="00C1596E">
        <w:t xml:space="preserve">ich is </w:t>
      </w:r>
      <w:r>
        <w:t xml:space="preserve">expected to be </w:t>
      </w:r>
      <w:r w:rsidRPr="00C1596E">
        <w:t>normally configured to be equal to the maximum capability of slots bundling reported by UE.</w:t>
      </w:r>
    </w:p>
    <w:p w14:paraId="230AA8B2" w14:textId="77777777" w:rsidR="00EF070C" w:rsidRPr="00EF070C" w:rsidRDefault="00EF070C" w:rsidP="00B0560D">
      <w:pPr>
        <w:pStyle w:val="Caption"/>
        <w:jc w:val="both"/>
        <w:rPr>
          <w:b w:val="0"/>
          <w:bCs/>
          <w:lang w:eastAsia="zh-CN"/>
        </w:rPr>
      </w:pPr>
    </w:p>
    <w:p w14:paraId="5252CA4D" w14:textId="18EA3493" w:rsidR="00DF0036" w:rsidRDefault="004E4B17" w:rsidP="00B0560D">
      <w:pPr>
        <w:pStyle w:val="Caption"/>
        <w:jc w:val="both"/>
        <w:rPr>
          <w:b w:val="0"/>
          <w:bCs/>
          <w:lang w:val="en-US" w:eastAsia="zh-CN"/>
        </w:rPr>
      </w:pPr>
      <w:r>
        <w:rPr>
          <w:b w:val="0"/>
          <w:bCs/>
          <w:lang w:val="en-US" w:eastAsia="zh-CN"/>
        </w:rPr>
        <w:t>Therefore</w:t>
      </w:r>
      <w:r w:rsidR="00EF070C">
        <w:rPr>
          <w:b w:val="0"/>
          <w:bCs/>
          <w:lang w:val="en-US" w:eastAsia="zh-CN"/>
        </w:rPr>
        <w:t xml:space="preserve">, </w:t>
      </w:r>
      <w:r w:rsidR="005E663E" w:rsidRPr="005E663E">
        <w:rPr>
          <w:b w:val="0"/>
          <w:bCs/>
          <w:lang w:val="en-US" w:eastAsia="zh-CN"/>
        </w:rPr>
        <w:t>the following proposals</w:t>
      </w:r>
      <w:r w:rsidR="00EF070C">
        <w:rPr>
          <w:b w:val="0"/>
          <w:bCs/>
          <w:lang w:val="en-US" w:eastAsia="zh-CN"/>
        </w:rPr>
        <w:t xml:space="preserve"> were made</w:t>
      </w:r>
      <w:r w:rsidR="005E663E" w:rsidRPr="005E663E">
        <w:rPr>
          <w:b w:val="0"/>
          <w:bCs/>
          <w:lang w:val="en-US" w:eastAsia="zh-CN"/>
        </w:rPr>
        <w:t>:</w:t>
      </w:r>
    </w:p>
    <w:p w14:paraId="4B3D7865" w14:textId="77777777" w:rsidR="00EF070C" w:rsidRPr="00EF070C" w:rsidRDefault="00EF070C" w:rsidP="00EF070C">
      <w:pPr>
        <w:rPr>
          <w:lang w:val="en-US" w:eastAsia="zh-CN"/>
        </w:rPr>
      </w:pPr>
    </w:p>
    <w:p w14:paraId="603ECCC4" w14:textId="77777777" w:rsidR="00AF4B80" w:rsidRDefault="00AF4B80" w:rsidP="00AF4B80">
      <w:pPr>
        <w:rPr>
          <w:b/>
          <w:bCs/>
          <w:lang w:val="en-US"/>
        </w:rPr>
      </w:pPr>
      <w:r w:rsidRPr="00B15C2D">
        <w:rPr>
          <w:b/>
          <w:bCs/>
          <w:lang w:val="en-US"/>
        </w:rPr>
        <w:t xml:space="preserve">Proposal 1. Adopt Option 2, using SFN and physical slot index, for determination of the </w:t>
      </w:r>
      <w:r>
        <w:rPr>
          <w:b/>
          <w:bCs/>
          <w:lang w:val="en-US"/>
        </w:rPr>
        <w:t xml:space="preserve">starting </w:t>
      </w:r>
      <w:r w:rsidRPr="00B15C2D">
        <w:rPr>
          <w:b/>
          <w:bCs/>
          <w:lang w:val="en-US"/>
        </w:rPr>
        <w:t>RB for each hop.</w:t>
      </w:r>
    </w:p>
    <w:p w14:paraId="1EA7C020" w14:textId="77777777" w:rsidR="00AF4B80" w:rsidRPr="00471EB2" w:rsidRDefault="00AF4B80" w:rsidP="00AF4B80">
      <w:pPr>
        <w:rPr>
          <w:b/>
          <w:bCs/>
        </w:rPr>
      </w:pPr>
      <w:r w:rsidRPr="00AE6A97">
        <w:rPr>
          <w:b/>
          <w:bCs/>
          <w:lang w:val="en-US"/>
        </w:rPr>
        <w:t xml:space="preserve">Proposal </w:t>
      </w:r>
      <w:r>
        <w:rPr>
          <w:b/>
          <w:bCs/>
          <w:lang w:val="en-US"/>
        </w:rPr>
        <w:t>2</w:t>
      </w:r>
      <w:r w:rsidRPr="00AE6A97">
        <w:rPr>
          <w:b/>
          <w:bCs/>
          <w:lang w:val="en-US"/>
        </w:rPr>
        <w:t>. RAN1 to agree on a unified notation for the slot number within a system radio frame</w:t>
      </w:r>
      <w:r>
        <w:rPr>
          <w:b/>
          <w:bCs/>
          <w:lang w:val="en-US"/>
        </w:rPr>
        <w:t>.</w:t>
      </w:r>
    </w:p>
    <w:p w14:paraId="7EB5DAE6" w14:textId="77777777" w:rsidR="002F4CF8" w:rsidRPr="00FF3F81" w:rsidRDefault="002F4CF8" w:rsidP="002F4CF8">
      <w:pPr>
        <w:pStyle w:val="Caption"/>
        <w:jc w:val="both"/>
        <w:rPr>
          <w:lang w:val="en-US"/>
        </w:rPr>
      </w:pPr>
      <w:r w:rsidRPr="00FF3F81">
        <w:rPr>
          <w:lang w:val="en-US"/>
        </w:rPr>
        <w:t xml:space="preserve">Proposal </w:t>
      </w:r>
      <w:r>
        <w:rPr>
          <w:lang w:val="en-US"/>
        </w:rPr>
        <w:t>3</w:t>
      </w:r>
      <w:r w:rsidRPr="00FF3F81">
        <w:rPr>
          <w:lang w:val="en-US"/>
        </w:rPr>
        <w:t>. For UE not capable of restarting DM-RS bundling in response to dynamic events,</w:t>
      </w:r>
    </w:p>
    <w:p w14:paraId="219BA8A3" w14:textId="77777777" w:rsidR="002F4CF8" w:rsidRPr="00FF3F81" w:rsidRDefault="002F4CF8" w:rsidP="002F4CF8">
      <w:pPr>
        <w:pStyle w:val="Caption"/>
        <w:numPr>
          <w:ilvl w:val="0"/>
          <w:numId w:val="28"/>
        </w:numPr>
        <w:jc w:val="both"/>
        <w:rPr>
          <w:lang w:val="en-US"/>
        </w:rPr>
      </w:pPr>
      <w:r w:rsidRPr="00FF3F81">
        <w:rPr>
          <w:lang w:val="en-US"/>
        </w:rPr>
        <w:t>If a semi-static event is triggered after one or multiple dynamic events, a new actual TDW is created after the semi-static event.</w:t>
      </w:r>
    </w:p>
    <w:p w14:paraId="6BA12B16" w14:textId="77777777" w:rsidR="002F4CF8" w:rsidRPr="00FF3F81" w:rsidRDefault="002F4CF8" w:rsidP="002F4CF8">
      <w:pPr>
        <w:pStyle w:val="Caption"/>
        <w:numPr>
          <w:ilvl w:val="0"/>
          <w:numId w:val="28"/>
        </w:numPr>
        <w:jc w:val="both"/>
        <w:rPr>
          <w:lang w:val="en-US"/>
        </w:rPr>
      </w:pPr>
      <w:r w:rsidRPr="00FF3F81">
        <w:rPr>
          <w:lang w:val="en-US"/>
        </w:rPr>
        <w:lastRenderedPageBreak/>
        <w:t>If a semi-static event overlaps with a dynamic event, a new actual TDW is created after the semi-static event.</w:t>
      </w:r>
    </w:p>
    <w:p w14:paraId="20FEDBD6" w14:textId="77777777" w:rsidR="002F4CF8" w:rsidRPr="00FF3F81" w:rsidRDefault="002F4CF8" w:rsidP="002F4CF8">
      <w:pPr>
        <w:pStyle w:val="Caption"/>
        <w:jc w:val="both"/>
        <w:rPr>
          <w:lang w:val="en-US"/>
        </w:rPr>
      </w:pPr>
      <w:r w:rsidRPr="00FF3F81">
        <w:rPr>
          <w:lang w:val="en-US"/>
        </w:rPr>
        <w:t>Note: No specification impact is expected.</w:t>
      </w:r>
    </w:p>
    <w:p w14:paraId="6974FC61" w14:textId="77777777" w:rsidR="00CD78E7" w:rsidRPr="00FB54C3" w:rsidRDefault="00CD78E7" w:rsidP="00CD78E7">
      <w:pPr>
        <w:spacing w:before="120" w:after="120" w:line="276" w:lineRule="auto"/>
        <w:jc w:val="both"/>
        <w:rPr>
          <w:b/>
          <w:bCs/>
          <w:lang w:val="en-US"/>
        </w:rPr>
      </w:pPr>
      <w:bookmarkStart w:id="14" w:name="_Toc67700565"/>
      <w:r w:rsidRPr="00FB54C3">
        <w:rPr>
          <w:b/>
          <w:bCs/>
          <w:lang w:val="en-US"/>
        </w:rPr>
        <w:t xml:space="preserve">Proposal </w:t>
      </w:r>
      <w:r>
        <w:rPr>
          <w:b/>
          <w:bCs/>
          <w:lang w:val="en-US"/>
        </w:rPr>
        <w:t>4</w:t>
      </w:r>
      <w:r w:rsidRPr="00FB54C3">
        <w:rPr>
          <w:b/>
          <w:bCs/>
          <w:lang w:val="en-US"/>
        </w:rPr>
        <w:t>. Modify the text of Alt. 3 and agree to the following Alt. 3a:</w:t>
      </w:r>
    </w:p>
    <w:p w14:paraId="48030302" w14:textId="5DD829CA" w:rsidR="00CD78E7" w:rsidRDefault="00CD78E7" w:rsidP="00CD78E7">
      <w:pPr>
        <w:spacing w:before="120" w:after="120" w:line="276" w:lineRule="auto"/>
        <w:ind w:left="284"/>
        <w:jc w:val="both"/>
        <w:rPr>
          <w:b/>
          <w:bCs/>
        </w:rPr>
      </w:pPr>
      <w:r w:rsidRPr="00FB54C3">
        <w:rPr>
          <w:b/>
          <w:bCs/>
          <w:lang w:val="en-US"/>
        </w:rPr>
        <w:t xml:space="preserve">Alt. 3a: </w:t>
      </w:r>
      <w:r w:rsidRPr="00FB54C3">
        <w:rPr>
          <w:b/>
          <w:bCs/>
        </w:rPr>
        <w:t>UE ignore</w:t>
      </w:r>
      <w:r>
        <w:rPr>
          <w:b/>
          <w:bCs/>
        </w:rPr>
        <w:t>s</w:t>
      </w:r>
      <w:r w:rsidRPr="00FB54C3">
        <w:rPr>
          <w:b/>
          <w:bCs/>
        </w:rPr>
        <w:t xml:space="preserve"> group common TPC commands with format 2_2 that would take effect during the actual TDWs</w:t>
      </w:r>
      <w:r>
        <w:rPr>
          <w:b/>
          <w:bCs/>
        </w:rPr>
        <w:t>.</w:t>
      </w:r>
    </w:p>
    <w:p w14:paraId="3C53F082" w14:textId="2CE87342" w:rsidR="00922331" w:rsidRDefault="00922331" w:rsidP="00922331">
      <w:pPr>
        <w:pStyle w:val="Caption"/>
      </w:pPr>
      <w:r>
        <w:t xml:space="preserve">Proposal 5. RAN1 to adopt the following mapping approaches for the mapping of </w:t>
      </w:r>
      <w:r w:rsidRPr="00D77529">
        <w:t>SRS resource sets for PUSCH repetition type A</w:t>
      </w:r>
      <w:r>
        <w:t xml:space="preserve"> when joint channel estimation is enabled (which also summarized in a CR in </w:t>
      </w:r>
      <w:r w:rsidR="00EF070C">
        <w:t>R1-2207104</w:t>
      </w:r>
      <w:r>
        <w:t>):</w:t>
      </w:r>
    </w:p>
    <w:p w14:paraId="7B3E88BC" w14:textId="77777777" w:rsidR="00922331" w:rsidRPr="007623C8" w:rsidRDefault="00922331" w:rsidP="00922331">
      <w:pPr>
        <w:pStyle w:val="ListParagraph"/>
        <w:numPr>
          <w:ilvl w:val="0"/>
          <w:numId w:val="48"/>
        </w:numPr>
        <w:jc w:val="both"/>
        <w:rPr>
          <w:b/>
          <w:lang w:val="en-US"/>
        </w:rPr>
      </w:pPr>
      <w:r w:rsidRPr="007623C8">
        <w:rPr>
          <w:b/>
          <w:lang w:val="en-US"/>
        </w:rPr>
        <w:t xml:space="preserve">For TDD, the first and second SRS resource sets are applied to the first </w:t>
      </w:r>
      <w:r w:rsidRPr="007623C8">
        <w:rPr>
          <w:b/>
          <w:bCs/>
          <w:lang w:val="en-US"/>
        </w:rPr>
        <w:t>N</w:t>
      </w:r>
      <w:r>
        <w:rPr>
          <w:b/>
          <w:bCs/>
          <w:vertAlign w:val="subscript"/>
          <w:lang w:val="en-US"/>
        </w:rPr>
        <w:t>TDD</w:t>
      </w:r>
      <w:r w:rsidRPr="007623C8">
        <w:rPr>
          <w:b/>
          <w:lang w:val="en-US"/>
        </w:rPr>
        <w:t xml:space="preserve"> consecutive slots and the second </w:t>
      </w:r>
      <w:r w:rsidRPr="007623C8">
        <w:rPr>
          <w:b/>
          <w:bCs/>
          <w:lang w:val="en-US"/>
        </w:rPr>
        <w:t>N</w:t>
      </w:r>
      <w:r>
        <w:rPr>
          <w:b/>
          <w:bCs/>
          <w:vertAlign w:val="subscript"/>
          <w:lang w:val="en-US"/>
        </w:rPr>
        <w:t>TDD</w:t>
      </w:r>
      <w:r>
        <w:rPr>
          <w:b/>
          <w:lang w:val="en-US"/>
        </w:rPr>
        <w:t xml:space="preserve"> </w:t>
      </w:r>
      <w:r>
        <w:rPr>
          <w:b/>
          <w:bCs/>
          <w:lang w:val="en-US"/>
        </w:rPr>
        <w:t>subsequence</w:t>
      </w:r>
      <w:r w:rsidRPr="007623C8">
        <w:rPr>
          <w:b/>
          <w:bCs/>
          <w:lang w:val="en-US"/>
        </w:rPr>
        <w:t xml:space="preserve"> </w:t>
      </w:r>
      <w:r w:rsidRPr="007623C8">
        <w:rPr>
          <w:b/>
          <w:lang w:val="en-US"/>
        </w:rPr>
        <w:t xml:space="preserve">consecutive slots of K consecutive slots, respectively, and the same SRS resource set mapping pattern continues to the remaining slots of K consecutive slots, where </w:t>
      </w:r>
      <w:r w:rsidRPr="007623C8">
        <w:rPr>
          <w:b/>
          <w:bCs/>
          <w:lang w:val="en-US"/>
        </w:rPr>
        <w:t>N</w:t>
      </w:r>
      <w:r>
        <w:rPr>
          <w:b/>
          <w:bCs/>
          <w:vertAlign w:val="subscript"/>
          <w:lang w:val="en-US"/>
        </w:rPr>
        <w:t>TDD</w:t>
      </w:r>
      <w:r w:rsidRPr="007623C8">
        <w:rPr>
          <w:b/>
          <w:lang w:val="en-US"/>
        </w:rPr>
        <w:t xml:space="preserve"> is equal to the number of slots in one cycle of a TDD pattern.</w:t>
      </w:r>
    </w:p>
    <w:p w14:paraId="29108883" w14:textId="47F1CA22" w:rsidR="00922331" w:rsidRDefault="00922331" w:rsidP="00922331">
      <w:pPr>
        <w:pStyle w:val="ListParagraph"/>
        <w:numPr>
          <w:ilvl w:val="0"/>
          <w:numId w:val="48"/>
        </w:numPr>
        <w:jc w:val="both"/>
        <w:rPr>
          <w:b/>
          <w:lang w:val="en-US"/>
        </w:rPr>
      </w:pPr>
      <w:r w:rsidRPr="007623C8">
        <w:rPr>
          <w:b/>
          <w:lang w:val="en-US"/>
        </w:rPr>
        <w:t>For FDD, the first and second SRS resource sets are applied to the first N</w:t>
      </w:r>
      <w:r w:rsidRPr="007623C8">
        <w:rPr>
          <w:b/>
          <w:vertAlign w:val="subscript"/>
          <w:lang w:val="en-US"/>
        </w:rPr>
        <w:t>TDW</w:t>
      </w:r>
      <w:r w:rsidRPr="007623C8">
        <w:rPr>
          <w:b/>
          <w:lang w:val="en-US"/>
        </w:rPr>
        <w:t xml:space="preserve"> consecutive slots and the second N</w:t>
      </w:r>
      <w:r w:rsidRPr="007623C8">
        <w:rPr>
          <w:b/>
          <w:vertAlign w:val="subscript"/>
          <w:lang w:val="en-US"/>
        </w:rPr>
        <w:t>TDW</w:t>
      </w:r>
      <w:r w:rsidRPr="007623C8">
        <w:rPr>
          <w:b/>
          <w:lang w:val="en-US"/>
        </w:rPr>
        <w:t xml:space="preserve"> consecutive slots of K consecutive slots, respectively, and the same SRS resource set mapping pattern continues to the remaining slots of K consecutive slots, where N</w:t>
      </w:r>
      <w:r w:rsidRPr="007623C8">
        <w:rPr>
          <w:b/>
          <w:vertAlign w:val="subscript"/>
          <w:lang w:val="en-US"/>
        </w:rPr>
        <w:t>TDW</w:t>
      </w:r>
      <w:r w:rsidRPr="007623C8">
        <w:rPr>
          <w:b/>
          <w:lang w:val="en-US"/>
        </w:rPr>
        <w:t xml:space="preserve"> is the length of nominal time domain window.</w:t>
      </w:r>
    </w:p>
    <w:p w14:paraId="7196FD7B" w14:textId="77777777" w:rsidR="00EF070C" w:rsidRDefault="00EF070C" w:rsidP="00EF070C">
      <w:pPr>
        <w:pStyle w:val="Caption"/>
      </w:pPr>
      <w:r>
        <w:t xml:space="preserve">Proposal </w:t>
      </w:r>
      <w:r>
        <w:fldChar w:fldCharType="begin"/>
      </w:r>
      <w:r>
        <w:instrText xml:space="preserve"> SEQ Proposal \* ARABIC </w:instrText>
      </w:r>
      <w:r>
        <w:fldChar w:fldCharType="separate"/>
      </w:r>
      <w:r>
        <w:rPr>
          <w:noProof/>
        </w:rPr>
        <w:t>6</w:t>
      </w:r>
      <w:r>
        <w:fldChar w:fldCharType="end"/>
      </w:r>
      <w:r>
        <w:t>. RAN1 to adopt the following mapping approaches for the mapping of spatial settings or power control parameters</w:t>
      </w:r>
      <w:r w:rsidRPr="00D77529">
        <w:t xml:space="preserve"> sets for PU</w:t>
      </w:r>
      <w:r>
        <w:t>C</w:t>
      </w:r>
      <w:r w:rsidRPr="00D77529">
        <w:t xml:space="preserve">CH repetition </w:t>
      </w:r>
      <w:r>
        <w:t xml:space="preserve">when joint channel estimation is enabled (which is also </w:t>
      </w:r>
      <w:r w:rsidRPr="00EF070C">
        <w:t>summarized in a CR in R1-2207103):</w:t>
      </w:r>
    </w:p>
    <w:p w14:paraId="48875C9B" w14:textId="77777777" w:rsidR="00EF070C" w:rsidRPr="008275D8" w:rsidRDefault="00EF070C" w:rsidP="00EF070C">
      <w:pPr>
        <w:pStyle w:val="ListParagraph"/>
        <w:numPr>
          <w:ilvl w:val="0"/>
          <w:numId w:val="48"/>
        </w:numPr>
        <w:jc w:val="both"/>
        <w:rPr>
          <w:b/>
          <w:lang w:val="en-US"/>
        </w:rPr>
      </w:pPr>
      <w:r w:rsidRPr="007623C8">
        <w:rPr>
          <w:b/>
          <w:lang w:val="en-US"/>
        </w:rPr>
        <w:t xml:space="preserve">For TDD, the first and </w:t>
      </w:r>
      <w:r w:rsidRPr="008275D8">
        <w:rPr>
          <w:b/>
          <w:lang w:val="en-US"/>
        </w:rPr>
        <w:t xml:space="preserve">second </w:t>
      </w:r>
      <w:r w:rsidRPr="008275D8">
        <w:rPr>
          <w:b/>
          <w:bCs/>
          <w:lang w:val="en-US"/>
        </w:rPr>
        <w:t>spatial settings or power control parameters sets</w:t>
      </w:r>
      <w:r w:rsidRPr="008275D8">
        <w:rPr>
          <w:b/>
          <w:lang w:val="en-US"/>
        </w:rPr>
        <w:t xml:space="preserve"> are applied to the first </w:t>
      </w:r>
      <w:r w:rsidRPr="008275D8">
        <w:rPr>
          <w:b/>
          <w:bCs/>
          <w:lang w:val="en-US"/>
        </w:rPr>
        <w:t>N</w:t>
      </w:r>
      <w:r w:rsidRPr="008275D8">
        <w:rPr>
          <w:b/>
          <w:bCs/>
          <w:vertAlign w:val="subscript"/>
          <w:lang w:val="en-US"/>
        </w:rPr>
        <w:t>TDD</w:t>
      </w:r>
      <w:r w:rsidRPr="008275D8">
        <w:rPr>
          <w:b/>
          <w:lang w:val="en-US"/>
        </w:rPr>
        <w:t xml:space="preserve"> slots and the second </w:t>
      </w:r>
      <w:r w:rsidRPr="008275D8">
        <w:rPr>
          <w:b/>
          <w:bCs/>
          <w:lang w:val="en-US"/>
        </w:rPr>
        <w:t>N</w:t>
      </w:r>
      <w:r w:rsidRPr="008275D8">
        <w:rPr>
          <w:b/>
          <w:bCs/>
          <w:vertAlign w:val="subscript"/>
          <w:lang w:val="en-US"/>
        </w:rPr>
        <w:t>TDD</w:t>
      </w:r>
      <w:r w:rsidRPr="008275D8">
        <w:rPr>
          <w:b/>
          <w:lang w:val="en-US"/>
        </w:rPr>
        <w:t xml:space="preserve"> </w:t>
      </w:r>
      <w:r w:rsidRPr="008275D8">
        <w:rPr>
          <w:b/>
          <w:bCs/>
          <w:lang w:val="en-US"/>
        </w:rPr>
        <w:t xml:space="preserve">subsequent </w:t>
      </w:r>
      <w:r w:rsidRPr="008275D8">
        <w:rPr>
          <w:b/>
          <w:lang w:val="en-US"/>
        </w:rPr>
        <w:t xml:space="preserve">slots, respectively, where </w:t>
      </w:r>
      <w:r w:rsidRPr="008275D8">
        <w:rPr>
          <w:b/>
          <w:bCs/>
          <w:lang w:val="en-US"/>
        </w:rPr>
        <w:t>N</w:t>
      </w:r>
      <w:r w:rsidRPr="008275D8">
        <w:rPr>
          <w:b/>
          <w:bCs/>
          <w:vertAlign w:val="subscript"/>
          <w:lang w:val="en-US"/>
        </w:rPr>
        <w:t>TDD</w:t>
      </w:r>
      <w:r w:rsidRPr="008275D8">
        <w:rPr>
          <w:b/>
          <w:lang w:val="en-US"/>
        </w:rPr>
        <w:t xml:space="preserve"> equal</w:t>
      </w:r>
      <w:r>
        <w:rPr>
          <w:b/>
          <w:lang w:val="en-US"/>
        </w:rPr>
        <w:t>s</w:t>
      </w:r>
      <w:r w:rsidRPr="008275D8">
        <w:rPr>
          <w:b/>
          <w:lang w:val="en-US"/>
        </w:rPr>
        <w:t xml:space="preserve"> the number of available slots in one cycle of a TDD pattern.</w:t>
      </w:r>
    </w:p>
    <w:p w14:paraId="0BF88924" w14:textId="77777777" w:rsidR="00EF070C" w:rsidRPr="009C0EF5" w:rsidRDefault="00EF070C" w:rsidP="00EF070C">
      <w:pPr>
        <w:pStyle w:val="ListParagraph"/>
        <w:numPr>
          <w:ilvl w:val="0"/>
          <w:numId w:val="48"/>
        </w:numPr>
        <w:jc w:val="both"/>
        <w:rPr>
          <w:b/>
          <w:lang w:val="en-US"/>
        </w:rPr>
      </w:pPr>
      <w:r w:rsidRPr="008275D8">
        <w:rPr>
          <w:b/>
          <w:lang w:val="en-US"/>
        </w:rPr>
        <w:t xml:space="preserve">For FDD, the first and second </w:t>
      </w:r>
      <w:r w:rsidRPr="008275D8">
        <w:rPr>
          <w:b/>
          <w:bCs/>
          <w:lang w:val="en-US"/>
        </w:rPr>
        <w:t>spatial settings or power control parameters sets</w:t>
      </w:r>
      <w:r w:rsidRPr="008275D8">
        <w:rPr>
          <w:b/>
          <w:lang w:val="en-US"/>
        </w:rPr>
        <w:t xml:space="preserve"> are applied to the first N</w:t>
      </w:r>
      <w:r w:rsidRPr="008275D8">
        <w:rPr>
          <w:b/>
          <w:vertAlign w:val="subscript"/>
          <w:lang w:val="en-US"/>
        </w:rPr>
        <w:t>TDW</w:t>
      </w:r>
      <w:r w:rsidRPr="008275D8">
        <w:rPr>
          <w:b/>
          <w:lang w:val="en-US"/>
        </w:rPr>
        <w:t xml:space="preserve"> slots and the second N</w:t>
      </w:r>
      <w:r w:rsidRPr="008275D8">
        <w:rPr>
          <w:b/>
          <w:vertAlign w:val="subscript"/>
          <w:lang w:val="en-US"/>
        </w:rPr>
        <w:t>TDW</w:t>
      </w:r>
      <w:r w:rsidRPr="008275D8">
        <w:rPr>
          <w:b/>
          <w:lang w:val="en-US"/>
        </w:rPr>
        <w:t xml:space="preserve"> subsequent slots, respectively, where N</w:t>
      </w:r>
      <w:r w:rsidRPr="008275D8">
        <w:rPr>
          <w:b/>
          <w:vertAlign w:val="subscript"/>
          <w:lang w:val="en-US"/>
        </w:rPr>
        <w:t>TDW</w:t>
      </w:r>
      <w:r w:rsidRPr="008275D8">
        <w:rPr>
          <w:b/>
          <w:lang w:val="en-US"/>
        </w:rPr>
        <w:t xml:space="preserve"> </w:t>
      </w:r>
      <w:r>
        <w:rPr>
          <w:b/>
          <w:lang w:val="en-US"/>
        </w:rPr>
        <w:t>equals the</w:t>
      </w:r>
      <w:r w:rsidRPr="008275D8">
        <w:rPr>
          <w:b/>
          <w:lang w:val="en-US"/>
        </w:rPr>
        <w:t xml:space="preserve"> length of nominal time domain window.</w:t>
      </w:r>
    </w:p>
    <w:p w14:paraId="48C80426" w14:textId="288155D6" w:rsidR="00922331" w:rsidRDefault="00922331" w:rsidP="00970168">
      <w:pPr>
        <w:spacing w:before="120" w:after="120" w:line="276" w:lineRule="auto"/>
        <w:jc w:val="both"/>
        <w:rPr>
          <w:b/>
          <w:bCs/>
        </w:rPr>
      </w:pP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14"/>
    </w:p>
    <w:p w14:paraId="07D43FF2" w14:textId="5FAFEDFB" w:rsidR="00821DD2" w:rsidRDefault="00821DD2" w:rsidP="006941A6">
      <w:pPr>
        <w:pStyle w:val="ListParagraph"/>
        <w:numPr>
          <w:ilvl w:val="0"/>
          <w:numId w:val="4"/>
        </w:numPr>
        <w:rPr>
          <w:szCs w:val="20"/>
          <w:lang w:val="en-US"/>
        </w:rPr>
      </w:pPr>
      <w:bookmarkStart w:id="15" w:name="_Ref109719781"/>
      <w:bookmarkStart w:id="16" w:name="_Ref86914900"/>
      <w:r>
        <w:rPr>
          <w:szCs w:val="20"/>
          <w:lang w:val="en-US"/>
        </w:rPr>
        <w:t xml:space="preserve">R1-2205441 </w:t>
      </w:r>
      <w:r w:rsidRPr="00821DD2">
        <w:rPr>
          <w:szCs w:val="20"/>
          <w:lang w:val="en-US"/>
        </w:rPr>
        <w:t>FL summary #2 of maintenance on PUCCH enhancements</w:t>
      </w:r>
      <w:r>
        <w:rPr>
          <w:szCs w:val="20"/>
          <w:lang w:val="en-US"/>
        </w:rPr>
        <w:t>, Moderator (Qualcomm)</w:t>
      </w:r>
      <w:bookmarkEnd w:id="15"/>
    </w:p>
    <w:p w14:paraId="48CBFBDF" w14:textId="41C14EB9" w:rsidR="000C5B5B" w:rsidRPr="00FB2EE0" w:rsidRDefault="005602E2" w:rsidP="00FB2EE0">
      <w:pPr>
        <w:pStyle w:val="ListParagraph"/>
        <w:numPr>
          <w:ilvl w:val="0"/>
          <w:numId w:val="4"/>
        </w:numPr>
        <w:rPr>
          <w:szCs w:val="20"/>
          <w:lang w:val="en-US"/>
        </w:rPr>
      </w:pPr>
      <w:bookmarkStart w:id="17" w:name="_Ref109725934"/>
      <w:r>
        <w:rPr>
          <w:szCs w:val="20"/>
          <w:lang w:val="en-US"/>
        </w:rPr>
        <w:t xml:space="preserve">R1-2205483 </w:t>
      </w:r>
      <w:r w:rsidRPr="005602E2">
        <w:rPr>
          <w:szCs w:val="20"/>
          <w:lang w:val="en-US"/>
        </w:rPr>
        <w:t>[109-e-R17_CovEnh-04] Summary of email discussion on joint channel estimation for PUSCH and PUCCH</w:t>
      </w:r>
      <w:r>
        <w:rPr>
          <w:szCs w:val="20"/>
          <w:lang w:val="en-US"/>
        </w:rPr>
        <w:t>, Moderator (China Telecom)</w:t>
      </w:r>
      <w:bookmarkEnd w:id="17"/>
      <w:bookmarkEnd w:id="16"/>
    </w:p>
    <w:sectPr w:rsidR="000C5B5B" w:rsidRPr="00FB2EE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09989" w14:textId="77777777" w:rsidR="001F6F6F" w:rsidRDefault="001F6F6F">
      <w:r>
        <w:separator/>
      </w:r>
    </w:p>
  </w:endnote>
  <w:endnote w:type="continuationSeparator" w:id="0">
    <w:p w14:paraId="33CD7585" w14:textId="77777777" w:rsidR="001F6F6F" w:rsidRDefault="001F6F6F">
      <w:r>
        <w:continuationSeparator/>
      </w:r>
    </w:p>
  </w:endnote>
  <w:endnote w:type="continuationNotice" w:id="1">
    <w:p w14:paraId="79606095" w14:textId="77777777" w:rsidR="001F6F6F" w:rsidRDefault="001F6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CEC4E" w14:textId="77777777" w:rsidR="001F6F6F" w:rsidRDefault="001F6F6F">
      <w:r>
        <w:separator/>
      </w:r>
    </w:p>
  </w:footnote>
  <w:footnote w:type="continuationSeparator" w:id="0">
    <w:p w14:paraId="08D114C9" w14:textId="77777777" w:rsidR="001F6F6F" w:rsidRDefault="001F6F6F">
      <w:r>
        <w:continuationSeparator/>
      </w:r>
    </w:p>
  </w:footnote>
  <w:footnote w:type="continuationNotice" w:id="1">
    <w:p w14:paraId="08315E8A" w14:textId="77777777" w:rsidR="001F6F6F" w:rsidRDefault="001F6F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36690"/>
    <w:multiLevelType w:val="hybridMultilevel"/>
    <w:tmpl w:val="D50A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E62D4"/>
    <w:multiLevelType w:val="hybridMultilevel"/>
    <w:tmpl w:val="5AB2F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D87E0B"/>
    <w:multiLevelType w:val="singleLevel"/>
    <w:tmpl w:val="8B22FC68"/>
    <w:lvl w:ilvl="0">
      <w:start w:val="1"/>
      <w:numFmt w:val="decimal"/>
      <w:lvlText w:val="%1."/>
      <w:lvlJc w:val="left"/>
      <w:pPr>
        <w:tabs>
          <w:tab w:val="num" w:pos="360"/>
        </w:tabs>
        <w:ind w:left="360" w:hanging="360"/>
      </w:pPr>
      <w:rPr>
        <w:b/>
        <w:i w:val="0"/>
        <w:color w:val="000000" w:themeColor="text1"/>
        <w:sz w:val="24"/>
        <w:szCs w:val="24"/>
      </w:rPr>
    </w:lvl>
  </w:abstractNum>
  <w:abstractNum w:abstractNumId="9" w15:restartNumberingAfterBreak="0">
    <w:nsid w:val="18A477EF"/>
    <w:multiLevelType w:val="hybridMultilevel"/>
    <w:tmpl w:val="BE764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20F1E"/>
    <w:multiLevelType w:val="hybridMultilevel"/>
    <w:tmpl w:val="6A7A2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F22AF"/>
    <w:multiLevelType w:val="hybridMultilevel"/>
    <w:tmpl w:val="BA5E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035E3"/>
    <w:multiLevelType w:val="hybridMultilevel"/>
    <w:tmpl w:val="8460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057B62"/>
    <w:multiLevelType w:val="hybridMultilevel"/>
    <w:tmpl w:val="7A8E0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6369AE"/>
    <w:multiLevelType w:val="hybridMultilevel"/>
    <w:tmpl w:val="FFA6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start w:val="1"/>
      <w:numFmt w:val="bullet"/>
      <w:lvlText w:val=""/>
      <w:lvlJc w:val="left"/>
      <w:pPr>
        <w:ind w:left="1070" w:hanging="420"/>
      </w:pPr>
      <w:rPr>
        <w:rFonts w:ascii="Wingdings" w:hAnsi="Wingdings" w:hint="default"/>
      </w:rPr>
    </w:lvl>
    <w:lvl w:ilvl="2" w:tplc="04090005">
      <w:start w:val="1"/>
      <w:numFmt w:val="bullet"/>
      <w:lvlText w:val=""/>
      <w:lvlJc w:val="left"/>
      <w:pPr>
        <w:ind w:left="1490" w:hanging="420"/>
      </w:pPr>
      <w:rPr>
        <w:rFonts w:ascii="Wingdings" w:hAnsi="Wingdings" w:hint="default"/>
      </w:rPr>
    </w:lvl>
    <w:lvl w:ilvl="3" w:tplc="04090001">
      <w:start w:val="1"/>
      <w:numFmt w:val="bullet"/>
      <w:lvlText w:val=""/>
      <w:lvlJc w:val="left"/>
      <w:pPr>
        <w:ind w:left="1910" w:hanging="420"/>
      </w:pPr>
      <w:rPr>
        <w:rFonts w:ascii="Wingdings" w:hAnsi="Wingdings" w:hint="default"/>
      </w:rPr>
    </w:lvl>
    <w:lvl w:ilvl="4" w:tplc="04090003">
      <w:start w:val="1"/>
      <w:numFmt w:val="bullet"/>
      <w:lvlText w:val=""/>
      <w:lvlJc w:val="left"/>
      <w:pPr>
        <w:ind w:left="2330" w:hanging="420"/>
      </w:pPr>
      <w:rPr>
        <w:rFonts w:ascii="Wingdings" w:hAnsi="Wingdings" w:hint="default"/>
      </w:rPr>
    </w:lvl>
    <w:lvl w:ilvl="5" w:tplc="04090005">
      <w:start w:val="1"/>
      <w:numFmt w:val="bullet"/>
      <w:lvlText w:val=""/>
      <w:lvlJc w:val="left"/>
      <w:pPr>
        <w:ind w:left="2750" w:hanging="420"/>
      </w:pPr>
      <w:rPr>
        <w:rFonts w:ascii="Wingdings" w:hAnsi="Wingdings" w:hint="default"/>
      </w:rPr>
    </w:lvl>
    <w:lvl w:ilvl="6" w:tplc="04090001">
      <w:start w:val="1"/>
      <w:numFmt w:val="bullet"/>
      <w:lvlText w:val=""/>
      <w:lvlJc w:val="left"/>
      <w:pPr>
        <w:ind w:left="3170" w:hanging="420"/>
      </w:pPr>
      <w:rPr>
        <w:rFonts w:ascii="Wingdings" w:hAnsi="Wingdings" w:hint="default"/>
      </w:rPr>
    </w:lvl>
    <w:lvl w:ilvl="7" w:tplc="04090003">
      <w:start w:val="1"/>
      <w:numFmt w:val="bullet"/>
      <w:lvlText w:val=""/>
      <w:lvlJc w:val="left"/>
      <w:pPr>
        <w:ind w:left="3590" w:hanging="420"/>
      </w:pPr>
      <w:rPr>
        <w:rFonts w:ascii="Wingdings" w:hAnsi="Wingdings" w:hint="default"/>
      </w:rPr>
    </w:lvl>
    <w:lvl w:ilvl="8" w:tplc="04090005">
      <w:start w:val="1"/>
      <w:numFmt w:val="bullet"/>
      <w:lvlText w:val=""/>
      <w:lvlJc w:val="left"/>
      <w:pPr>
        <w:ind w:left="4010" w:hanging="42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1641DCB"/>
    <w:multiLevelType w:val="hybridMultilevel"/>
    <w:tmpl w:val="51F6D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7" w15:restartNumberingAfterBreak="0">
    <w:nsid w:val="5C5915C9"/>
    <w:multiLevelType w:val="hybridMultilevel"/>
    <w:tmpl w:val="08C85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BB4C41"/>
    <w:multiLevelType w:val="hybridMultilevel"/>
    <w:tmpl w:val="41885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22176B"/>
    <w:multiLevelType w:val="multilevel"/>
    <w:tmpl w:val="692217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2A32989"/>
    <w:multiLevelType w:val="hybridMultilevel"/>
    <w:tmpl w:val="2CDC6178"/>
    <w:lvl w:ilvl="0" w:tplc="C66216F2">
      <w:start w:val="1"/>
      <w:numFmt w:val="bullet"/>
      <w:lvlText w:val=""/>
      <w:lvlJc w:val="left"/>
      <w:pPr>
        <w:tabs>
          <w:tab w:val="num" w:pos="720"/>
        </w:tabs>
        <w:ind w:left="720" w:hanging="360"/>
      </w:pPr>
      <w:rPr>
        <w:rFonts w:ascii="Wingdings" w:hAnsi="Wingdings" w:hint="default"/>
      </w:rPr>
    </w:lvl>
    <w:lvl w:ilvl="1" w:tplc="8D66FA84" w:tentative="1">
      <w:start w:val="1"/>
      <w:numFmt w:val="bullet"/>
      <w:lvlText w:val=""/>
      <w:lvlJc w:val="left"/>
      <w:pPr>
        <w:tabs>
          <w:tab w:val="num" w:pos="1440"/>
        </w:tabs>
        <w:ind w:left="1440" w:hanging="360"/>
      </w:pPr>
      <w:rPr>
        <w:rFonts w:ascii="Wingdings" w:hAnsi="Wingdings" w:hint="default"/>
      </w:rPr>
    </w:lvl>
    <w:lvl w:ilvl="2" w:tplc="489012D8" w:tentative="1">
      <w:start w:val="1"/>
      <w:numFmt w:val="bullet"/>
      <w:lvlText w:val=""/>
      <w:lvlJc w:val="left"/>
      <w:pPr>
        <w:tabs>
          <w:tab w:val="num" w:pos="2160"/>
        </w:tabs>
        <w:ind w:left="2160" w:hanging="360"/>
      </w:pPr>
      <w:rPr>
        <w:rFonts w:ascii="Wingdings" w:hAnsi="Wingdings" w:hint="default"/>
      </w:rPr>
    </w:lvl>
    <w:lvl w:ilvl="3" w:tplc="50E2541C" w:tentative="1">
      <w:start w:val="1"/>
      <w:numFmt w:val="bullet"/>
      <w:lvlText w:val=""/>
      <w:lvlJc w:val="left"/>
      <w:pPr>
        <w:tabs>
          <w:tab w:val="num" w:pos="2880"/>
        </w:tabs>
        <w:ind w:left="2880" w:hanging="360"/>
      </w:pPr>
      <w:rPr>
        <w:rFonts w:ascii="Wingdings" w:hAnsi="Wingdings" w:hint="default"/>
      </w:rPr>
    </w:lvl>
    <w:lvl w:ilvl="4" w:tplc="12A80F5C" w:tentative="1">
      <w:start w:val="1"/>
      <w:numFmt w:val="bullet"/>
      <w:lvlText w:val=""/>
      <w:lvlJc w:val="left"/>
      <w:pPr>
        <w:tabs>
          <w:tab w:val="num" w:pos="3600"/>
        </w:tabs>
        <w:ind w:left="3600" w:hanging="360"/>
      </w:pPr>
      <w:rPr>
        <w:rFonts w:ascii="Wingdings" w:hAnsi="Wingdings" w:hint="default"/>
      </w:rPr>
    </w:lvl>
    <w:lvl w:ilvl="5" w:tplc="7E40E11A" w:tentative="1">
      <w:start w:val="1"/>
      <w:numFmt w:val="bullet"/>
      <w:lvlText w:val=""/>
      <w:lvlJc w:val="left"/>
      <w:pPr>
        <w:tabs>
          <w:tab w:val="num" w:pos="4320"/>
        </w:tabs>
        <w:ind w:left="4320" w:hanging="360"/>
      </w:pPr>
      <w:rPr>
        <w:rFonts w:ascii="Wingdings" w:hAnsi="Wingdings" w:hint="default"/>
      </w:rPr>
    </w:lvl>
    <w:lvl w:ilvl="6" w:tplc="26C8361A" w:tentative="1">
      <w:start w:val="1"/>
      <w:numFmt w:val="bullet"/>
      <w:lvlText w:val=""/>
      <w:lvlJc w:val="left"/>
      <w:pPr>
        <w:tabs>
          <w:tab w:val="num" w:pos="5040"/>
        </w:tabs>
        <w:ind w:left="5040" w:hanging="360"/>
      </w:pPr>
      <w:rPr>
        <w:rFonts w:ascii="Wingdings" w:hAnsi="Wingdings" w:hint="default"/>
      </w:rPr>
    </w:lvl>
    <w:lvl w:ilvl="7" w:tplc="F95037D4" w:tentative="1">
      <w:start w:val="1"/>
      <w:numFmt w:val="bullet"/>
      <w:lvlText w:val=""/>
      <w:lvlJc w:val="left"/>
      <w:pPr>
        <w:tabs>
          <w:tab w:val="num" w:pos="5760"/>
        </w:tabs>
        <w:ind w:left="5760" w:hanging="360"/>
      </w:pPr>
      <w:rPr>
        <w:rFonts w:ascii="Wingdings" w:hAnsi="Wingdings" w:hint="default"/>
      </w:rPr>
    </w:lvl>
    <w:lvl w:ilvl="8" w:tplc="3DA2ED0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1"/>
  </w:num>
  <w:num w:numId="3">
    <w:abstractNumId w:val="2"/>
  </w:num>
  <w:num w:numId="4">
    <w:abstractNumId w:val="13"/>
  </w:num>
  <w:num w:numId="5">
    <w:abstractNumId w:val="9"/>
  </w:num>
  <w:num w:numId="6">
    <w:abstractNumId w:val="0"/>
    <w:lvlOverride w:ilvl="0">
      <w:startOverride w:val="1"/>
    </w:lvlOverride>
  </w:num>
  <w:num w:numId="7">
    <w:abstractNumId w:val="6"/>
    <w:lvlOverride w:ilvl="0">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7"/>
  </w:num>
  <w:num w:numId="11">
    <w:abstractNumId w:val="30"/>
  </w:num>
  <w:num w:numId="12">
    <w:abstractNumId w:val="43"/>
  </w:num>
  <w:num w:numId="13">
    <w:abstractNumId w:val="24"/>
    <w:lvlOverride w:ilvl="0">
      <w:startOverride w:val="1"/>
    </w:lvlOverride>
  </w:num>
  <w:num w:numId="14">
    <w:abstractNumId w:val="39"/>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
  </w:num>
  <w:num w:numId="18">
    <w:abstractNumId w:val="42"/>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num>
  <w:num w:numId="21">
    <w:abstractNumId w:val="45"/>
  </w:num>
  <w:num w:numId="22">
    <w:abstractNumId w:val="26"/>
    <w:lvlOverride w:ilvl="0">
      <w:startOverride w:val="1"/>
    </w:lvlOverride>
    <w:lvlOverride w:ilvl="1"/>
    <w:lvlOverride w:ilvl="2"/>
    <w:lvlOverride w:ilvl="3"/>
    <w:lvlOverride w:ilvl="4"/>
    <w:lvlOverride w:ilvl="5"/>
    <w:lvlOverride w:ilvl="6"/>
    <w:lvlOverride w:ilvl="7"/>
    <w:lvlOverride w:ilvl="8"/>
  </w:num>
  <w:num w:numId="23">
    <w:abstractNumId w:val="19"/>
  </w:num>
  <w:num w:numId="24">
    <w:abstractNumId w:val="20"/>
  </w:num>
  <w:num w:numId="25">
    <w:abstractNumId w:val="15"/>
  </w:num>
  <w:num w:numId="2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0"/>
  </w:num>
  <w:num w:numId="29">
    <w:abstractNumId w:val="44"/>
  </w:num>
  <w:num w:numId="30">
    <w:abstractNumId w:val="5"/>
  </w:num>
  <w:num w:numId="31">
    <w:abstractNumId w:val="33"/>
  </w:num>
  <w:num w:numId="32">
    <w:abstractNumId w:val="36"/>
  </w:num>
  <w:num w:numId="33">
    <w:abstractNumId w:val="35"/>
  </w:num>
  <w:num w:numId="34">
    <w:abstractNumId w:val="40"/>
  </w:num>
  <w:num w:numId="35">
    <w:abstractNumId w:val="37"/>
  </w:num>
  <w:num w:numId="36">
    <w:abstractNumId w:val="41"/>
  </w:num>
  <w:num w:numId="37">
    <w:abstractNumId w:val="22"/>
  </w:num>
  <w:num w:numId="38">
    <w:abstractNumId w:val="23"/>
  </w:num>
  <w:num w:numId="39">
    <w:abstractNumId w:val="4"/>
  </w:num>
  <w:num w:numId="40">
    <w:abstractNumId w:val="38"/>
  </w:num>
  <w:num w:numId="41">
    <w:abstractNumId w:val="3"/>
  </w:num>
  <w:num w:numId="42">
    <w:abstractNumId w:val="7"/>
  </w:num>
  <w:num w:numId="43">
    <w:abstractNumId w:val="46"/>
  </w:num>
  <w:num w:numId="44">
    <w:abstractNumId w:val="18"/>
  </w:num>
  <w:num w:numId="45">
    <w:abstractNumId w:val="32"/>
  </w:num>
  <w:num w:numId="46">
    <w:abstractNumId w:val="8"/>
  </w:num>
  <w:num w:numId="47">
    <w:abstractNumId w:val="11"/>
  </w:num>
  <w:num w:numId="48">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1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59F"/>
    <w:rsid w:val="0000195D"/>
    <w:rsid w:val="00001A16"/>
    <w:rsid w:val="00001DC7"/>
    <w:rsid w:val="00002EC0"/>
    <w:rsid w:val="00003E20"/>
    <w:rsid w:val="00004684"/>
    <w:rsid w:val="00004AC8"/>
    <w:rsid w:val="000053BA"/>
    <w:rsid w:val="00005D98"/>
    <w:rsid w:val="00006055"/>
    <w:rsid w:val="000068ED"/>
    <w:rsid w:val="00006A49"/>
    <w:rsid w:val="00006AD4"/>
    <w:rsid w:val="00006CB9"/>
    <w:rsid w:val="000074C4"/>
    <w:rsid w:val="0000782C"/>
    <w:rsid w:val="000079A6"/>
    <w:rsid w:val="00007C78"/>
    <w:rsid w:val="00010BE7"/>
    <w:rsid w:val="00010E2C"/>
    <w:rsid w:val="00011BB2"/>
    <w:rsid w:val="000123F7"/>
    <w:rsid w:val="00012477"/>
    <w:rsid w:val="00012505"/>
    <w:rsid w:val="00012685"/>
    <w:rsid w:val="0001295C"/>
    <w:rsid w:val="00012C4F"/>
    <w:rsid w:val="000131D1"/>
    <w:rsid w:val="00013455"/>
    <w:rsid w:val="000134E3"/>
    <w:rsid w:val="00013632"/>
    <w:rsid w:val="000137E8"/>
    <w:rsid w:val="000138A6"/>
    <w:rsid w:val="00013F5E"/>
    <w:rsid w:val="0001403F"/>
    <w:rsid w:val="00014688"/>
    <w:rsid w:val="0001487F"/>
    <w:rsid w:val="00014F35"/>
    <w:rsid w:val="00015B2B"/>
    <w:rsid w:val="00015F42"/>
    <w:rsid w:val="00015F98"/>
    <w:rsid w:val="000166AC"/>
    <w:rsid w:val="0001693B"/>
    <w:rsid w:val="00017B7F"/>
    <w:rsid w:val="00017EDA"/>
    <w:rsid w:val="000212A5"/>
    <w:rsid w:val="00021993"/>
    <w:rsid w:val="00022B8C"/>
    <w:rsid w:val="00023742"/>
    <w:rsid w:val="00024AEF"/>
    <w:rsid w:val="00024D72"/>
    <w:rsid w:val="00024EF1"/>
    <w:rsid w:val="00026C65"/>
    <w:rsid w:val="00027755"/>
    <w:rsid w:val="00027864"/>
    <w:rsid w:val="0002789E"/>
    <w:rsid w:val="00027F1A"/>
    <w:rsid w:val="00030048"/>
    <w:rsid w:val="000302BE"/>
    <w:rsid w:val="000305B7"/>
    <w:rsid w:val="0003072D"/>
    <w:rsid w:val="000311B3"/>
    <w:rsid w:val="000314CD"/>
    <w:rsid w:val="0003332B"/>
    <w:rsid w:val="00033544"/>
    <w:rsid w:val="00033D85"/>
    <w:rsid w:val="0003479E"/>
    <w:rsid w:val="00035691"/>
    <w:rsid w:val="00036C02"/>
    <w:rsid w:val="00036E40"/>
    <w:rsid w:val="0003767C"/>
    <w:rsid w:val="00040438"/>
    <w:rsid w:val="00040CF7"/>
    <w:rsid w:val="00040F4F"/>
    <w:rsid w:val="0004132D"/>
    <w:rsid w:val="00041C9D"/>
    <w:rsid w:val="00042268"/>
    <w:rsid w:val="0004234E"/>
    <w:rsid w:val="0004284B"/>
    <w:rsid w:val="00042D72"/>
    <w:rsid w:val="00043056"/>
    <w:rsid w:val="00044CFA"/>
    <w:rsid w:val="000459C7"/>
    <w:rsid w:val="00046630"/>
    <w:rsid w:val="00046C80"/>
    <w:rsid w:val="00047ED6"/>
    <w:rsid w:val="00050112"/>
    <w:rsid w:val="00050221"/>
    <w:rsid w:val="00050276"/>
    <w:rsid w:val="00050466"/>
    <w:rsid w:val="000505CC"/>
    <w:rsid w:val="000511F9"/>
    <w:rsid w:val="00051B32"/>
    <w:rsid w:val="0005230E"/>
    <w:rsid w:val="00052850"/>
    <w:rsid w:val="000528A2"/>
    <w:rsid w:val="000529BD"/>
    <w:rsid w:val="00052BBA"/>
    <w:rsid w:val="00053588"/>
    <w:rsid w:val="0005445C"/>
    <w:rsid w:val="00054B05"/>
    <w:rsid w:val="00054D9D"/>
    <w:rsid w:val="00054DF7"/>
    <w:rsid w:val="00055676"/>
    <w:rsid w:val="00056544"/>
    <w:rsid w:val="00057ADE"/>
    <w:rsid w:val="00060315"/>
    <w:rsid w:val="00060D8E"/>
    <w:rsid w:val="00061BFF"/>
    <w:rsid w:val="00062159"/>
    <w:rsid w:val="000639BD"/>
    <w:rsid w:val="00063D9E"/>
    <w:rsid w:val="00064AD3"/>
    <w:rsid w:val="00065088"/>
    <w:rsid w:val="000652D3"/>
    <w:rsid w:val="000654A0"/>
    <w:rsid w:val="000659FC"/>
    <w:rsid w:val="00065E94"/>
    <w:rsid w:val="000663A0"/>
    <w:rsid w:val="00066719"/>
    <w:rsid w:val="00067027"/>
    <w:rsid w:val="00067D23"/>
    <w:rsid w:val="00067E39"/>
    <w:rsid w:val="00067FF6"/>
    <w:rsid w:val="000701AD"/>
    <w:rsid w:val="0007075A"/>
    <w:rsid w:val="000707CA"/>
    <w:rsid w:val="00070D21"/>
    <w:rsid w:val="000712FC"/>
    <w:rsid w:val="000717FB"/>
    <w:rsid w:val="000719BF"/>
    <w:rsid w:val="0007208A"/>
    <w:rsid w:val="0007213C"/>
    <w:rsid w:val="00072BBA"/>
    <w:rsid w:val="00072FF5"/>
    <w:rsid w:val="000730DC"/>
    <w:rsid w:val="00074336"/>
    <w:rsid w:val="000748E1"/>
    <w:rsid w:val="000751C7"/>
    <w:rsid w:val="000756AB"/>
    <w:rsid w:val="00075965"/>
    <w:rsid w:val="00075FDA"/>
    <w:rsid w:val="00076386"/>
    <w:rsid w:val="000765CE"/>
    <w:rsid w:val="00076D82"/>
    <w:rsid w:val="00077206"/>
    <w:rsid w:val="00077BDA"/>
    <w:rsid w:val="000810CD"/>
    <w:rsid w:val="000812A3"/>
    <w:rsid w:val="00081EC2"/>
    <w:rsid w:val="00082154"/>
    <w:rsid w:val="0008298B"/>
    <w:rsid w:val="00082ECC"/>
    <w:rsid w:val="00083800"/>
    <w:rsid w:val="000841C7"/>
    <w:rsid w:val="00084A65"/>
    <w:rsid w:val="000852A2"/>
    <w:rsid w:val="0008559A"/>
    <w:rsid w:val="00085B1D"/>
    <w:rsid w:val="0008612C"/>
    <w:rsid w:val="0008653B"/>
    <w:rsid w:val="000866E1"/>
    <w:rsid w:val="000902C2"/>
    <w:rsid w:val="00090F1D"/>
    <w:rsid w:val="00091383"/>
    <w:rsid w:val="00091A09"/>
    <w:rsid w:val="00091A92"/>
    <w:rsid w:val="00092062"/>
    <w:rsid w:val="000921D7"/>
    <w:rsid w:val="00092CA3"/>
    <w:rsid w:val="00093C49"/>
    <w:rsid w:val="00093E1D"/>
    <w:rsid w:val="00095A80"/>
    <w:rsid w:val="000973E1"/>
    <w:rsid w:val="00097640"/>
    <w:rsid w:val="000A0C7A"/>
    <w:rsid w:val="000A0E4C"/>
    <w:rsid w:val="000A1402"/>
    <w:rsid w:val="000A20BA"/>
    <w:rsid w:val="000A262C"/>
    <w:rsid w:val="000A3C8D"/>
    <w:rsid w:val="000A3D7C"/>
    <w:rsid w:val="000A3DFE"/>
    <w:rsid w:val="000A40EC"/>
    <w:rsid w:val="000A47F2"/>
    <w:rsid w:val="000A4FA6"/>
    <w:rsid w:val="000A54EE"/>
    <w:rsid w:val="000A602B"/>
    <w:rsid w:val="000A6347"/>
    <w:rsid w:val="000A6A23"/>
    <w:rsid w:val="000A6A48"/>
    <w:rsid w:val="000A75DD"/>
    <w:rsid w:val="000A7BC5"/>
    <w:rsid w:val="000B059C"/>
    <w:rsid w:val="000B0C45"/>
    <w:rsid w:val="000B13E1"/>
    <w:rsid w:val="000B16DB"/>
    <w:rsid w:val="000B1C5E"/>
    <w:rsid w:val="000B2282"/>
    <w:rsid w:val="000B27E9"/>
    <w:rsid w:val="000B2A11"/>
    <w:rsid w:val="000B2A5B"/>
    <w:rsid w:val="000B33CB"/>
    <w:rsid w:val="000B3B4E"/>
    <w:rsid w:val="000B3B91"/>
    <w:rsid w:val="000B4207"/>
    <w:rsid w:val="000B42EB"/>
    <w:rsid w:val="000B447C"/>
    <w:rsid w:val="000B4B1B"/>
    <w:rsid w:val="000B50C3"/>
    <w:rsid w:val="000B5AC9"/>
    <w:rsid w:val="000B5F0A"/>
    <w:rsid w:val="000B64BE"/>
    <w:rsid w:val="000B6D1E"/>
    <w:rsid w:val="000B6D65"/>
    <w:rsid w:val="000B7171"/>
    <w:rsid w:val="000B743C"/>
    <w:rsid w:val="000C0180"/>
    <w:rsid w:val="000C07FB"/>
    <w:rsid w:val="000C1B80"/>
    <w:rsid w:val="000C1D59"/>
    <w:rsid w:val="000C201E"/>
    <w:rsid w:val="000C2126"/>
    <w:rsid w:val="000C2B09"/>
    <w:rsid w:val="000C30CF"/>
    <w:rsid w:val="000C4C99"/>
    <w:rsid w:val="000C501D"/>
    <w:rsid w:val="000C5B5B"/>
    <w:rsid w:val="000C5CA2"/>
    <w:rsid w:val="000C5CBA"/>
    <w:rsid w:val="000C71AD"/>
    <w:rsid w:val="000C73D0"/>
    <w:rsid w:val="000C74BA"/>
    <w:rsid w:val="000C7531"/>
    <w:rsid w:val="000C7BA7"/>
    <w:rsid w:val="000C7C3F"/>
    <w:rsid w:val="000D0BC9"/>
    <w:rsid w:val="000D0BD6"/>
    <w:rsid w:val="000D0C61"/>
    <w:rsid w:val="000D0CE4"/>
    <w:rsid w:val="000D1337"/>
    <w:rsid w:val="000D1440"/>
    <w:rsid w:val="000D1C63"/>
    <w:rsid w:val="000D2122"/>
    <w:rsid w:val="000D27AD"/>
    <w:rsid w:val="000D292D"/>
    <w:rsid w:val="000D29D1"/>
    <w:rsid w:val="000D2B0A"/>
    <w:rsid w:val="000D3286"/>
    <w:rsid w:val="000D344D"/>
    <w:rsid w:val="000D3CBF"/>
    <w:rsid w:val="000D40E7"/>
    <w:rsid w:val="000D4B52"/>
    <w:rsid w:val="000D500B"/>
    <w:rsid w:val="000D584F"/>
    <w:rsid w:val="000D5E40"/>
    <w:rsid w:val="000D71F2"/>
    <w:rsid w:val="000D7351"/>
    <w:rsid w:val="000D76BC"/>
    <w:rsid w:val="000D7750"/>
    <w:rsid w:val="000E071E"/>
    <w:rsid w:val="000E08B4"/>
    <w:rsid w:val="000E0DEE"/>
    <w:rsid w:val="000E181D"/>
    <w:rsid w:val="000E2166"/>
    <w:rsid w:val="000E2796"/>
    <w:rsid w:val="000E27AA"/>
    <w:rsid w:val="000E2AAF"/>
    <w:rsid w:val="000E2ACF"/>
    <w:rsid w:val="000E337A"/>
    <w:rsid w:val="000E34FD"/>
    <w:rsid w:val="000E36E6"/>
    <w:rsid w:val="000E3934"/>
    <w:rsid w:val="000E4350"/>
    <w:rsid w:val="000E4376"/>
    <w:rsid w:val="000E4408"/>
    <w:rsid w:val="000E4AFC"/>
    <w:rsid w:val="000E53AB"/>
    <w:rsid w:val="000E5684"/>
    <w:rsid w:val="000E5716"/>
    <w:rsid w:val="000E6337"/>
    <w:rsid w:val="000E6DA6"/>
    <w:rsid w:val="000E7A79"/>
    <w:rsid w:val="000E7C1A"/>
    <w:rsid w:val="000F0CD0"/>
    <w:rsid w:val="000F15B2"/>
    <w:rsid w:val="000F19DE"/>
    <w:rsid w:val="000F1C32"/>
    <w:rsid w:val="000F22C8"/>
    <w:rsid w:val="000F2E1F"/>
    <w:rsid w:val="000F2F2D"/>
    <w:rsid w:val="000F37B0"/>
    <w:rsid w:val="000F3AC9"/>
    <w:rsid w:val="000F4595"/>
    <w:rsid w:val="000F4889"/>
    <w:rsid w:val="000F4CB2"/>
    <w:rsid w:val="000F4E44"/>
    <w:rsid w:val="000F4E90"/>
    <w:rsid w:val="000F568D"/>
    <w:rsid w:val="000F68D0"/>
    <w:rsid w:val="000F6B15"/>
    <w:rsid w:val="0010008D"/>
    <w:rsid w:val="001003F0"/>
    <w:rsid w:val="001004E5"/>
    <w:rsid w:val="00100665"/>
    <w:rsid w:val="001012EE"/>
    <w:rsid w:val="0010169A"/>
    <w:rsid w:val="0010170B"/>
    <w:rsid w:val="00101C4F"/>
    <w:rsid w:val="00101F6B"/>
    <w:rsid w:val="001026C9"/>
    <w:rsid w:val="00102C9F"/>
    <w:rsid w:val="00103F78"/>
    <w:rsid w:val="00103F7F"/>
    <w:rsid w:val="00103FC9"/>
    <w:rsid w:val="00104896"/>
    <w:rsid w:val="001058CB"/>
    <w:rsid w:val="001061DD"/>
    <w:rsid w:val="00106896"/>
    <w:rsid w:val="001068D2"/>
    <w:rsid w:val="001069F2"/>
    <w:rsid w:val="001103BD"/>
    <w:rsid w:val="00111208"/>
    <w:rsid w:val="001115E4"/>
    <w:rsid w:val="00111808"/>
    <w:rsid w:val="00111D1A"/>
    <w:rsid w:val="0011200A"/>
    <w:rsid w:val="0011200B"/>
    <w:rsid w:val="00112220"/>
    <w:rsid w:val="001129B2"/>
    <w:rsid w:val="0011339F"/>
    <w:rsid w:val="00113B8F"/>
    <w:rsid w:val="00113EC8"/>
    <w:rsid w:val="00114E96"/>
    <w:rsid w:val="001152C7"/>
    <w:rsid w:val="00115679"/>
    <w:rsid w:val="00115C88"/>
    <w:rsid w:val="0011644A"/>
    <w:rsid w:val="00117332"/>
    <w:rsid w:val="0011784B"/>
    <w:rsid w:val="00117DD2"/>
    <w:rsid w:val="001204DD"/>
    <w:rsid w:val="0012059B"/>
    <w:rsid w:val="00122799"/>
    <w:rsid w:val="00122839"/>
    <w:rsid w:val="001229DE"/>
    <w:rsid w:val="00122EF4"/>
    <w:rsid w:val="001231C4"/>
    <w:rsid w:val="001237AC"/>
    <w:rsid w:val="00124E12"/>
    <w:rsid w:val="00124E75"/>
    <w:rsid w:val="00124F3C"/>
    <w:rsid w:val="00125562"/>
    <w:rsid w:val="0012673D"/>
    <w:rsid w:val="001269B8"/>
    <w:rsid w:val="00126BD4"/>
    <w:rsid w:val="00127099"/>
    <w:rsid w:val="00127A8C"/>
    <w:rsid w:val="00127EB9"/>
    <w:rsid w:val="00131263"/>
    <w:rsid w:val="001317BF"/>
    <w:rsid w:val="00132379"/>
    <w:rsid w:val="00132830"/>
    <w:rsid w:val="00132B71"/>
    <w:rsid w:val="001332D6"/>
    <w:rsid w:val="001337A5"/>
    <w:rsid w:val="00133D7B"/>
    <w:rsid w:val="0013427A"/>
    <w:rsid w:val="001348FE"/>
    <w:rsid w:val="00134B36"/>
    <w:rsid w:val="00134D55"/>
    <w:rsid w:val="001359C6"/>
    <w:rsid w:val="001360F3"/>
    <w:rsid w:val="001362C2"/>
    <w:rsid w:val="0013678C"/>
    <w:rsid w:val="00136955"/>
    <w:rsid w:val="00136E19"/>
    <w:rsid w:val="001371B2"/>
    <w:rsid w:val="00137AB9"/>
    <w:rsid w:val="00137D78"/>
    <w:rsid w:val="0014060C"/>
    <w:rsid w:val="001409A0"/>
    <w:rsid w:val="00141B3D"/>
    <w:rsid w:val="00141E40"/>
    <w:rsid w:val="00141F08"/>
    <w:rsid w:val="00141F76"/>
    <w:rsid w:val="00141FF2"/>
    <w:rsid w:val="00142359"/>
    <w:rsid w:val="0014287A"/>
    <w:rsid w:val="00142DE2"/>
    <w:rsid w:val="00143CAA"/>
    <w:rsid w:val="001445E1"/>
    <w:rsid w:val="00144656"/>
    <w:rsid w:val="00144C87"/>
    <w:rsid w:val="00145049"/>
    <w:rsid w:val="00145618"/>
    <w:rsid w:val="001467B1"/>
    <w:rsid w:val="00150175"/>
    <w:rsid w:val="001502C8"/>
    <w:rsid w:val="00151011"/>
    <w:rsid w:val="00151224"/>
    <w:rsid w:val="0015130F"/>
    <w:rsid w:val="0015238A"/>
    <w:rsid w:val="001532BA"/>
    <w:rsid w:val="00153FED"/>
    <w:rsid w:val="0015526D"/>
    <w:rsid w:val="00155BFD"/>
    <w:rsid w:val="001561D6"/>
    <w:rsid w:val="00156ABA"/>
    <w:rsid w:val="00157390"/>
    <w:rsid w:val="001607DD"/>
    <w:rsid w:val="00160998"/>
    <w:rsid w:val="00160CD6"/>
    <w:rsid w:val="00160F5F"/>
    <w:rsid w:val="00161FA0"/>
    <w:rsid w:val="00162308"/>
    <w:rsid w:val="001629DB"/>
    <w:rsid w:val="0016316A"/>
    <w:rsid w:val="00163182"/>
    <w:rsid w:val="00163539"/>
    <w:rsid w:val="0016381F"/>
    <w:rsid w:val="00163D1D"/>
    <w:rsid w:val="001640BB"/>
    <w:rsid w:val="00164171"/>
    <w:rsid w:val="00164E58"/>
    <w:rsid w:val="00165033"/>
    <w:rsid w:val="00165926"/>
    <w:rsid w:val="001665EB"/>
    <w:rsid w:val="001670EA"/>
    <w:rsid w:val="00167302"/>
    <w:rsid w:val="001674A0"/>
    <w:rsid w:val="00170A50"/>
    <w:rsid w:val="00170EE8"/>
    <w:rsid w:val="00172F30"/>
    <w:rsid w:val="00174FFD"/>
    <w:rsid w:val="00175465"/>
    <w:rsid w:val="001759CA"/>
    <w:rsid w:val="00176EA0"/>
    <w:rsid w:val="0017726A"/>
    <w:rsid w:val="001773ED"/>
    <w:rsid w:val="00177DD3"/>
    <w:rsid w:val="00180278"/>
    <w:rsid w:val="001807F2"/>
    <w:rsid w:val="00180C80"/>
    <w:rsid w:val="001818A7"/>
    <w:rsid w:val="00181DA6"/>
    <w:rsid w:val="00181E3B"/>
    <w:rsid w:val="00182725"/>
    <w:rsid w:val="0018277B"/>
    <w:rsid w:val="001828BF"/>
    <w:rsid w:val="001829C8"/>
    <w:rsid w:val="00182B65"/>
    <w:rsid w:val="001833B8"/>
    <w:rsid w:val="001842F9"/>
    <w:rsid w:val="00185300"/>
    <w:rsid w:val="00186904"/>
    <w:rsid w:val="0018692D"/>
    <w:rsid w:val="00186B0A"/>
    <w:rsid w:val="001902C0"/>
    <w:rsid w:val="001903BA"/>
    <w:rsid w:val="001905BD"/>
    <w:rsid w:val="001917EE"/>
    <w:rsid w:val="00191A2D"/>
    <w:rsid w:val="00191CC5"/>
    <w:rsid w:val="00191E79"/>
    <w:rsid w:val="00192D2D"/>
    <w:rsid w:val="00192FE6"/>
    <w:rsid w:val="0019360B"/>
    <w:rsid w:val="00193986"/>
    <w:rsid w:val="00193990"/>
    <w:rsid w:val="00193B08"/>
    <w:rsid w:val="00194570"/>
    <w:rsid w:val="00194EE7"/>
    <w:rsid w:val="00195E51"/>
    <w:rsid w:val="00195EFE"/>
    <w:rsid w:val="001967DA"/>
    <w:rsid w:val="00196BF4"/>
    <w:rsid w:val="001972DA"/>
    <w:rsid w:val="001976AA"/>
    <w:rsid w:val="001A02F6"/>
    <w:rsid w:val="001A15C6"/>
    <w:rsid w:val="001A3FB4"/>
    <w:rsid w:val="001A493B"/>
    <w:rsid w:val="001A4E36"/>
    <w:rsid w:val="001A5510"/>
    <w:rsid w:val="001A5A0B"/>
    <w:rsid w:val="001A5A16"/>
    <w:rsid w:val="001A5A73"/>
    <w:rsid w:val="001A5C7B"/>
    <w:rsid w:val="001A5E19"/>
    <w:rsid w:val="001A603C"/>
    <w:rsid w:val="001A63D8"/>
    <w:rsid w:val="001A6838"/>
    <w:rsid w:val="001A74C3"/>
    <w:rsid w:val="001B01FA"/>
    <w:rsid w:val="001B0832"/>
    <w:rsid w:val="001B0ED6"/>
    <w:rsid w:val="001B18A7"/>
    <w:rsid w:val="001B1EC0"/>
    <w:rsid w:val="001B2762"/>
    <w:rsid w:val="001B36FC"/>
    <w:rsid w:val="001B41ED"/>
    <w:rsid w:val="001B4607"/>
    <w:rsid w:val="001B5809"/>
    <w:rsid w:val="001B67A4"/>
    <w:rsid w:val="001B7E0C"/>
    <w:rsid w:val="001B7EC6"/>
    <w:rsid w:val="001C0674"/>
    <w:rsid w:val="001C1405"/>
    <w:rsid w:val="001C16F0"/>
    <w:rsid w:val="001C1B93"/>
    <w:rsid w:val="001C226F"/>
    <w:rsid w:val="001C286D"/>
    <w:rsid w:val="001C2A91"/>
    <w:rsid w:val="001C2B89"/>
    <w:rsid w:val="001C496D"/>
    <w:rsid w:val="001C5082"/>
    <w:rsid w:val="001C5296"/>
    <w:rsid w:val="001C54ED"/>
    <w:rsid w:val="001C66AC"/>
    <w:rsid w:val="001C6754"/>
    <w:rsid w:val="001C77F0"/>
    <w:rsid w:val="001D0C14"/>
    <w:rsid w:val="001D0EB6"/>
    <w:rsid w:val="001D30C9"/>
    <w:rsid w:val="001D40D0"/>
    <w:rsid w:val="001D445B"/>
    <w:rsid w:val="001D46A0"/>
    <w:rsid w:val="001D50C2"/>
    <w:rsid w:val="001D5401"/>
    <w:rsid w:val="001D59E9"/>
    <w:rsid w:val="001D7167"/>
    <w:rsid w:val="001D753C"/>
    <w:rsid w:val="001D7CA4"/>
    <w:rsid w:val="001D7E58"/>
    <w:rsid w:val="001E0425"/>
    <w:rsid w:val="001E13B3"/>
    <w:rsid w:val="001E27A9"/>
    <w:rsid w:val="001E30A0"/>
    <w:rsid w:val="001E36D0"/>
    <w:rsid w:val="001E3DE1"/>
    <w:rsid w:val="001E4D4F"/>
    <w:rsid w:val="001E54F9"/>
    <w:rsid w:val="001E57CF"/>
    <w:rsid w:val="001E5981"/>
    <w:rsid w:val="001E611A"/>
    <w:rsid w:val="001E6826"/>
    <w:rsid w:val="001E6E8E"/>
    <w:rsid w:val="001E6F9D"/>
    <w:rsid w:val="001E7105"/>
    <w:rsid w:val="001E74BA"/>
    <w:rsid w:val="001E7B9F"/>
    <w:rsid w:val="001F01FB"/>
    <w:rsid w:val="001F05F5"/>
    <w:rsid w:val="001F0658"/>
    <w:rsid w:val="001F0901"/>
    <w:rsid w:val="001F0C29"/>
    <w:rsid w:val="001F0E92"/>
    <w:rsid w:val="001F1987"/>
    <w:rsid w:val="001F201D"/>
    <w:rsid w:val="001F21BC"/>
    <w:rsid w:val="001F22D5"/>
    <w:rsid w:val="001F23BD"/>
    <w:rsid w:val="001F2F77"/>
    <w:rsid w:val="001F2FF3"/>
    <w:rsid w:val="001F3104"/>
    <w:rsid w:val="001F34DA"/>
    <w:rsid w:val="001F494D"/>
    <w:rsid w:val="001F4982"/>
    <w:rsid w:val="001F4DAC"/>
    <w:rsid w:val="001F5019"/>
    <w:rsid w:val="001F51C5"/>
    <w:rsid w:val="001F5467"/>
    <w:rsid w:val="001F5EC6"/>
    <w:rsid w:val="001F603C"/>
    <w:rsid w:val="001F65B0"/>
    <w:rsid w:val="001F6640"/>
    <w:rsid w:val="001F67AA"/>
    <w:rsid w:val="001F6AFD"/>
    <w:rsid w:val="001F6F6F"/>
    <w:rsid w:val="001F738D"/>
    <w:rsid w:val="001F7599"/>
    <w:rsid w:val="001F79A6"/>
    <w:rsid w:val="0020194D"/>
    <w:rsid w:val="0020276F"/>
    <w:rsid w:val="00202ACA"/>
    <w:rsid w:val="002030D5"/>
    <w:rsid w:val="002039C5"/>
    <w:rsid w:val="00203B1A"/>
    <w:rsid w:val="00204A2A"/>
    <w:rsid w:val="00204B22"/>
    <w:rsid w:val="00204B3A"/>
    <w:rsid w:val="0020535A"/>
    <w:rsid w:val="002055CB"/>
    <w:rsid w:val="002059EF"/>
    <w:rsid w:val="00205A4B"/>
    <w:rsid w:val="00205BDB"/>
    <w:rsid w:val="00206955"/>
    <w:rsid w:val="00206A79"/>
    <w:rsid w:val="00206D66"/>
    <w:rsid w:val="00207E1A"/>
    <w:rsid w:val="00210309"/>
    <w:rsid w:val="00210CC5"/>
    <w:rsid w:val="00211378"/>
    <w:rsid w:val="00211519"/>
    <w:rsid w:val="002118D3"/>
    <w:rsid w:val="0021224B"/>
    <w:rsid w:val="002122B3"/>
    <w:rsid w:val="00212950"/>
    <w:rsid w:val="00212FB8"/>
    <w:rsid w:val="00213534"/>
    <w:rsid w:val="00213709"/>
    <w:rsid w:val="00213A9D"/>
    <w:rsid w:val="0021424A"/>
    <w:rsid w:val="002143EB"/>
    <w:rsid w:val="002149AF"/>
    <w:rsid w:val="00214A86"/>
    <w:rsid w:val="0021518B"/>
    <w:rsid w:val="002154FC"/>
    <w:rsid w:val="00215AAA"/>
    <w:rsid w:val="0021683C"/>
    <w:rsid w:val="002168D6"/>
    <w:rsid w:val="00216A39"/>
    <w:rsid w:val="00216F5F"/>
    <w:rsid w:val="00217306"/>
    <w:rsid w:val="00220615"/>
    <w:rsid w:val="0022095C"/>
    <w:rsid w:val="00221985"/>
    <w:rsid w:val="00221EC5"/>
    <w:rsid w:val="002222E4"/>
    <w:rsid w:val="002225A0"/>
    <w:rsid w:val="00222A7A"/>
    <w:rsid w:val="00222CB3"/>
    <w:rsid w:val="00223485"/>
    <w:rsid w:val="00224A2C"/>
    <w:rsid w:val="00225217"/>
    <w:rsid w:val="002256D9"/>
    <w:rsid w:val="00226098"/>
    <w:rsid w:val="00226577"/>
    <w:rsid w:val="00226805"/>
    <w:rsid w:val="0022687C"/>
    <w:rsid w:val="002268A3"/>
    <w:rsid w:val="002277BE"/>
    <w:rsid w:val="002306F8"/>
    <w:rsid w:val="00231269"/>
    <w:rsid w:val="002312F4"/>
    <w:rsid w:val="002313A2"/>
    <w:rsid w:val="00231CE1"/>
    <w:rsid w:val="00231FC7"/>
    <w:rsid w:val="00232609"/>
    <w:rsid w:val="00232930"/>
    <w:rsid w:val="00232A95"/>
    <w:rsid w:val="00232C3F"/>
    <w:rsid w:val="00232DD9"/>
    <w:rsid w:val="0023308F"/>
    <w:rsid w:val="00233403"/>
    <w:rsid w:val="00233440"/>
    <w:rsid w:val="00233D0E"/>
    <w:rsid w:val="00234E13"/>
    <w:rsid w:val="0023534C"/>
    <w:rsid w:val="00235459"/>
    <w:rsid w:val="002357B1"/>
    <w:rsid w:val="00236450"/>
    <w:rsid w:val="00236879"/>
    <w:rsid w:val="002368A3"/>
    <w:rsid w:val="00236BA4"/>
    <w:rsid w:val="0023765A"/>
    <w:rsid w:val="00237921"/>
    <w:rsid w:val="00237D9B"/>
    <w:rsid w:val="002400DF"/>
    <w:rsid w:val="00240342"/>
    <w:rsid w:val="00240412"/>
    <w:rsid w:val="00241311"/>
    <w:rsid w:val="002418E8"/>
    <w:rsid w:val="00242E22"/>
    <w:rsid w:val="0024336B"/>
    <w:rsid w:val="0024351E"/>
    <w:rsid w:val="00244194"/>
    <w:rsid w:val="0024424F"/>
    <w:rsid w:val="00244D28"/>
    <w:rsid w:val="00245601"/>
    <w:rsid w:val="00245689"/>
    <w:rsid w:val="00245720"/>
    <w:rsid w:val="00245A6F"/>
    <w:rsid w:val="00245FD5"/>
    <w:rsid w:val="00246DE2"/>
    <w:rsid w:val="002477DF"/>
    <w:rsid w:val="00247A3A"/>
    <w:rsid w:val="00250E68"/>
    <w:rsid w:val="00251916"/>
    <w:rsid w:val="00251AD6"/>
    <w:rsid w:val="00252C17"/>
    <w:rsid w:val="0025307F"/>
    <w:rsid w:val="002551BD"/>
    <w:rsid w:val="002554A2"/>
    <w:rsid w:val="002568D0"/>
    <w:rsid w:val="002572B3"/>
    <w:rsid w:val="002575F5"/>
    <w:rsid w:val="00260AEE"/>
    <w:rsid w:val="002621A6"/>
    <w:rsid w:val="00262661"/>
    <w:rsid w:val="00262A77"/>
    <w:rsid w:val="00262D9D"/>
    <w:rsid w:val="002632DF"/>
    <w:rsid w:val="00263924"/>
    <w:rsid w:val="00263946"/>
    <w:rsid w:val="00263B6E"/>
    <w:rsid w:val="002640BA"/>
    <w:rsid w:val="00264CF2"/>
    <w:rsid w:val="002667A8"/>
    <w:rsid w:val="002670F1"/>
    <w:rsid w:val="00267587"/>
    <w:rsid w:val="002675C8"/>
    <w:rsid w:val="00267760"/>
    <w:rsid w:val="0027142B"/>
    <w:rsid w:val="00271589"/>
    <w:rsid w:val="00271EC5"/>
    <w:rsid w:val="00272156"/>
    <w:rsid w:val="00273177"/>
    <w:rsid w:val="00273850"/>
    <w:rsid w:val="0027455B"/>
    <w:rsid w:val="00275074"/>
    <w:rsid w:val="00275435"/>
    <w:rsid w:val="002756FC"/>
    <w:rsid w:val="00275A13"/>
    <w:rsid w:val="002763E9"/>
    <w:rsid w:val="00276736"/>
    <w:rsid w:val="00276F4E"/>
    <w:rsid w:val="00277501"/>
    <w:rsid w:val="00277536"/>
    <w:rsid w:val="0027773D"/>
    <w:rsid w:val="002778BD"/>
    <w:rsid w:val="00281039"/>
    <w:rsid w:val="002815FA"/>
    <w:rsid w:val="002817A6"/>
    <w:rsid w:val="002821F8"/>
    <w:rsid w:val="002823CE"/>
    <w:rsid w:val="002824C2"/>
    <w:rsid w:val="0028372B"/>
    <w:rsid w:val="00283797"/>
    <w:rsid w:val="00284D16"/>
    <w:rsid w:val="00284E32"/>
    <w:rsid w:val="002851EB"/>
    <w:rsid w:val="002852F5"/>
    <w:rsid w:val="00285510"/>
    <w:rsid w:val="00285BD1"/>
    <w:rsid w:val="00285DE2"/>
    <w:rsid w:val="0028616D"/>
    <w:rsid w:val="00286965"/>
    <w:rsid w:val="00290238"/>
    <w:rsid w:val="00290F3B"/>
    <w:rsid w:val="00290F9C"/>
    <w:rsid w:val="0029136E"/>
    <w:rsid w:val="00291FFE"/>
    <w:rsid w:val="00292399"/>
    <w:rsid w:val="00292985"/>
    <w:rsid w:val="00292A9F"/>
    <w:rsid w:val="00292DEA"/>
    <w:rsid w:val="00292F79"/>
    <w:rsid w:val="00293612"/>
    <w:rsid w:val="00293BFA"/>
    <w:rsid w:val="002942A1"/>
    <w:rsid w:val="00294445"/>
    <w:rsid w:val="00294B4D"/>
    <w:rsid w:val="0029537E"/>
    <w:rsid w:val="00295F00"/>
    <w:rsid w:val="002960D5"/>
    <w:rsid w:val="002965D5"/>
    <w:rsid w:val="002967F1"/>
    <w:rsid w:val="002968BF"/>
    <w:rsid w:val="00297926"/>
    <w:rsid w:val="00297F93"/>
    <w:rsid w:val="002A02C9"/>
    <w:rsid w:val="002A1062"/>
    <w:rsid w:val="002A14F2"/>
    <w:rsid w:val="002A2012"/>
    <w:rsid w:val="002A2413"/>
    <w:rsid w:val="002A2CCE"/>
    <w:rsid w:val="002A2F5E"/>
    <w:rsid w:val="002A352A"/>
    <w:rsid w:val="002A37B4"/>
    <w:rsid w:val="002A3821"/>
    <w:rsid w:val="002A4200"/>
    <w:rsid w:val="002A5173"/>
    <w:rsid w:val="002A607D"/>
    <w:rsid w:val="002A7057"/>
    <w:rsid w:val="002B132E"/>
    <w:rsid w:val="002B1499"/>
    <w:rsid w:val="002B1C75"/>
    <w:rsid w:val="002B23DD"/>
    <w:rsid w:val="002B2813"/>
    <w:rsid w:val="002B2D29"/>
    <w:rsid w:val="002B3B31"/>
    <w:rsid w:val="002B3BBD"/>
    <w:rsid w:val="002B3CE6"/>
    <w:rsid w:val="002B459E"/>
    <w:rsid w:val="002B56CC"/>
    <w:rsid w:val="002B57F6"/>
    <w:rsid w:val="002B7CCD"/>
    <w:rsid w:val="002C00DB"/>
    <w:rsid w:val="002C0C4B"/>
    <w:rsid w:val="002C1EEA"/>
    <w:rsid w:val="002C47AD"/>
    <w:rsid w:val="002C5510"/>
    <w:rsid w:val="002C6034"/>
    <w:rsid w:val="002C635B"/>
    <w:rsid w:val="002C68AE"/>
    <w:rsid w:val="002C6ECA"/>
    <w:rsid w:val="002C7276"/>
    <w:rsid w:val="002C75DF"/>
    <w:rsid w:val="002C770F"/>
    <w:rsid w:val="002C7B26"/>
    <w:rsid w:val="002C7B56"/>
    <w:rsid w:val="002C7CFF"/>
    <w:rsid w:val="002D0BC6"/>
    <w:rsid w:val="002D12DB"/>
    <w:rsid w:val="002D17C5"/>
    <w:rsid w:val="002D1922"/>
    <w:rsid w:val="002D2812"/>
    <w:rsid w:val="002D365F"/>
    <w:rsid w:val="002D4DFB"/>
    <w:rsid w:val="002D4F1B"/>
    <w:rsid w:val="002D51DF"/>
    <w:rsid w:val="002D54B9"/>
    <w:rsid w:val="002D6892"/>
    <w:rsid w:val="002D68C2"/>
    <w:rsid w:val="002D6F51"/>
    <w:rsid w:val="002D76AC"/>
    <w:rsid w:val="002D7C86"/>
    <w:rsid w:val="002E0692"/>
    <w:rsid w:val="002E152D"/>
    <w:rsid w:val="002E1D74"/>
    <w:rsid w:val="002E2921"/>
    <w:rsid w:val="002E2943"/>
    <w:rsid w:val="002E2CF1"/>
    <w:rsid w:val="002E34AF"/>
    <w:rsid w:val="002E3558"/>
    <w:rsid w:val="002E4435"/>
    <w:rsid w:val="002E4AAC"/>
    <w:rsid w:val="002E5029"/>
    <w:rsid w:val="002E53DE"/>
    <w:rsid w:val="002E563B"/>
    <w:rsid w:val="002E56BD"/>
    <w:rsid w:val="002E62D2"/>
    <w:rsid w:val="002E734F"/>
    <w:rsid w:val="002E74AF"/>
    <w:rsid w:val="002E758C"/>
    <w:rsid w:val="002E7AAE"/>
    <w:rsid w:val="002F061A"/>
    <w:rsid w:val="002F09F0"/>
    <w:rsid w:val="002F1038"/>
    <w:rsid w:val="002F208D"/>
    <w:rsid w:val="002F22FF"/>
    <w:rsid w:val="002F2D8F"/>
    <w:rsid w:val="002F3067"/>
    <w:rsid w:val="002F364D"/>
    <w:rsid w:val="002F4CF8"/>
    <w:rsid w:val="002F57E7"/>
    <w:rsid w:val="002F5A31"/>
    <w:rsid w:val="002F5BE4"/>
    <w:rsid w:val="002F5D7A"/>
    <w:rsid w:val="002F695B"/>
    <w:rsid w:val="002F6A24"/>
    <w:rsid w:val="002F72DA"/>
    <w:rsid w:val="002F76B1"/>
    <w:rsid w:val="002F7D66"/>
    <w:rsid w:val="002F7DBE"/>
    <w:rsid w:val="0030090B"/>
    <w:rsid w:val="00301807"/>
    <w:rsid w:val="003028C5"/>
    <w:rsid w:val="00302AE8"/>
    <w:rsid w:val="00302BB1"/>
    <w:rsid w:val="003030F0"/>
    <w:rsid w:val="003035AA"/>
    <w:rsid w:val="003035AD"/>
    <w:rsid w:val="003036CA"/>
    <w:rsid w:val="00303A60"/>
    <w:rsid w:val="00303C68"/>
    <w:rsid w:val="00303C87"/>
    <w:rsid w:val="00303D15"/>
    <w:rsid w:val="0030404B"/>
    <w:rsid w:val="00304210"/>
    <w:rsid w:val="003048D7"/>
    <w:rsid w:val="00304A1B"/>
    <w:rsid w:val="00304AD2"/>
    <w:rsid w:val="00304EAA"/>
    <w:rsid w:val="00305297"/>
    <w:rsid w:val="003053D8"/>
    <w:rsid w:val="003062E6"/>
    <w:rsid w:val="003068B6"/>
    <w:rsid w:val="003071F6"/>
    <w:rsid w:val="00307A73"/>
    <w:rsid w:val="00307FE0"/>
    <w:rsid w:val="003102CB"/>
    <w:rsid w:val="003107EB"/>
    <w:rsid w:val="00310E66"/>
    <w:rsid w:val="003110F3"/>
    <w:rsid w:val="00311C08"/>
    <w:rsid w:val="00311D7C"/>
    <w:rsid w:val="00311EC7"/>
    <w:rsid w:val="003125E0"/>
    <w:rsid w:val="00312792"/>
    <w:rsid w:val="00312E5C"/>
    <w:rsid w:val="00312ECE"/>
    <w:rsid w:val="0031393C"/>
    <w:rsid w:val="00313CB0"/>
    <w:rsid w:val="00313F96"/>
    <w:rsid w:val="00314B0A"/>
    <w:rsid w:val="00314FC1"/>
    <w:rsid w:val="003150CE"/>
    <w:rsid w:val="00315AAB"/>
    <w:rsid w:val="0031681A"/>
    <w:rsid w:val="003175E1"/>
    <w:rsid w:val="00317874"/>
    <w:rsid w:val="00317BBF"/>
    <w:rsid w:val="00317FB6"/>
    <w:rsid w:val="00320299"/>
    <w:rsid w:val="00320F83"/>
    <w:rsid w:val="00321154"/>
    <w:rsid w:val="003211B0"/>
    <w:rsid w:val="00321C88"/>
    <w:rsid w:val="00321EDA"/>
    <w:rsid w:val="003224AA"/>
    <w:rsid w:val="003224E7"/>
    <w:rsid w:val="00322ED0"/>
    <w:rsid w:val="00325D59"/>
    <w:rsid w:val="00325D7A"/>
    <w:rsid w:val="00326145"/>
    <w:rsid w:val="003269EB"/>
    <w:rsid w:val="00327163"/>
    <w:rsid w:val="00327305"/>
    <w:rsid w:val="00327531"/>
    <w:rsid w:val="003279EE"/>
    <w:rsid w:val="00330187"/>
    <w:rsid w:val="00330461"/>
    <w:rsid w:val="00331C77"/>
    <w:rsid w:val="00331DB6"/>
    <w:rsid w:val="00331F96"/>
    <w:rsid w:val="003320CE"/>
    <w:rsid w:val="00332B55"/>
    <w:rsid w:val="003334BB"/>
    <w:rsid w:val="003336B9"/>
    <w:rsid w:val="003342CF"/>
    <w:rsid w:val="0033476C"/>
    <w:rsid w:val="0033522E"/>
    <w:rsid w:val="00335448"/>
    <w:rsid w:val="00335693"/>
    <w:rsid w:val="00335DCD"/>
    <w:rsid w:val="00335EA8"/>
    <w:rsid w:val="00336024"/>
    <w:rsid w:val="003363DD"/>
    <w:rsid w:val="00337810"/>
    <w:rsid w:val="00337AAF"/>
    <w:rsid w:val="00340361"/>
    <w:rsid w:val="00340795"/>
    <w:rsid w:val="0034111C"/>
    <w:rsid w:val="003413D5"/>
    <w:rsid w:val="00341947"/>
    <w:rsid w:val="00341CAD"/>
    <w:rsid w:val="00341E60"/>
    <w:rsid w:val="0034217F"/>
    <w:rsid w:val="00342AD2"/>
    <w:rsid w:val="00343954"/>
    <w:rsid w:val="00343EE6"/>
    <w:rsid w:val="0034477C"/>
    <w:rsid w:val="00344BCA"/>
    <w:rsid w:val="00345405"/>
    <w:rsid w:val="00345DDD"/>
    <w:rsid w:val="00346355"/>
    <w:rsid w:val="00346A07"/>
    <w:rsid w:val="00346FED"/>
    <w:rsid w:val="0035078D"/>
    <w:rsid w:val="00350EE1"/>
    <w:rsid w:val="0035127F"/>
    <w:rsid w:val="003515EE"/>
    <w:rsid w:val="00351CBC"/>
    <w:rsid w:val="00351E01"/>
    <w:rsid w:val="00352968"/>
    <w:rsid w:val="0035298B"/>
    <w:rsid w:val="00352D21"/>
    <w:rsid w:val="00353435"/>
    <w:rsid w:val="00353FF3"/>
    <w:rsid w:val="00354426"/>
    <w:rsid w:val="0035443D"/>
    <w:rsid w:val="003544C2"/>
    <w:rsid w:val="00354740"/>
    <w:rsid w:val="00354AA2"/>
    <w:rsid w:val="00354FEE"/>
    <w:rsid w:val="003555A2"/>
    <w:rsid w:val="00355BB9"/>
    <w:rsid w:val="00356275"/>
    <w:rsid w:val="00356C0B"/>
    <w:rsid w:val="00356DC3"/>
    <w:rsid w:val="00357B9C"/>
    <w:rsid w:val="00361412"/>
    <w:rsid w:val="003615CA"/>
    <w:rsid w:val="003639D6"/>
    <w:rsid w:val="00363B2C"/>
    <w:rsid w:val="003642A6"/>
    <w:rsid w:val="00364763"/>
    <w:rsid w:val="00364B93"/>
    <w:rsid w:val="00364F75"/>
    <w:rsid w:val="003655F6"/>
    <w:rsid w:val="00365AC9"/>
    <w:rsid w:val="00365C3D"/>
    <w:rsid w:val="00366032"/>
    <w:rsid w:val="00366C1B"/>
    <w:rsid w:val="00367156"/>
    <w:rsid w:val="00367299"/>
    <w:rsid w:val="00367337"/>
    <w:rsid w:val="00367367"/>
    <w:rsid w:val="00367FD8"/>
    <w:rsid w:val="0037004E"/>
    <w:rsid w:val="0037076B"/>
    <w:rsid w:val="00370B63"/>
    <w:rsid w:val="00370FCC"/>
    <w:rsid w:val="003711AF"/>
    <w:rsid w:val="003735C6"/>
    <w:rsid w:val="003737F9"/>
    <w:rsid w:val="003743E0"/>
    <w:rsid w:val="00374848"/>
    <w:rsid w:val="003757A1"/>
    <w:rsid w:val="00375B68"/>
    <w:rsid w:val="00375BFE"/>
    <w:rsid w:val="00375D09"/>
    <w:rsid w:val="003762DC"/>
    <w:rsid w:val="0037653A"/>
    <w:rsid w:val="00376F22"/>
    <w:rsid w:val="0037739D"/>
    <w:rsid w:val="0037751C"/>
    <w:rsid w:val="003778DF"/>
    <w:rsid w:val="00377D61"/>
    <w:rsid w:val="00380B66"/>
    <w:rsid w:val="00380F3F"/>
    <w:rsid w:val="00381953"/>
    <w:rsid w:val="00382232"/>
    <w:rsid w:val="003829A8"/>
    <w:rsid w:val="00382F1A"/>
    <w:rsid w:val="00382F9A"/>
    <w:rsid w:val="00383282"/>
    <w:rsid w:val="00383422"/>
    <w:rsid w:val="00383658"/>
    <w:rsid w:val="00383A72"/>
    <w:rsid w:val="0038412E"/>
    <w:rsid w:val="003841A6"/>
    <w:rsid w:val="0038475E"/>
    <w:rsid w:val="00384F0C"/>
    <w:rsid w:val="003859A0"/>
    <w:rsid w:val="00386053"/>
    <w:rsid w:val="003866F7"/>
    <w:rsid w:val="00386711"/>
    <w:rsid w:val="00387459"/>
    <w:rsid w:val="0038771D"/>
    <w:rsid w:val="0039057E"/>
    <w:rsid w:val="00390935"/>
    <w:rsid w:val="00391FFF"/>
    <w:rsid w:val="0039213C"/>
    <w:rsid w:val="0039241F"/>
    <w:rsid w:val="00392491"/>
    <w:rsid w:val="003925CE"/>
    <w:rsid w:val="003935B0"/>
    <w:rsid w:val="00393D79"/>
    <w:rsid w:val="00393E44"/>
    <w:rsid w:val="00394301"/>
    <w:rsid w:val="00394C11"/>
    <w:rsid w:val="0039607D"/>
    <w:rsid w:val="0039747B"/>
    <w:rsid w:val="0039756D"/>
    <w:rsid w:val="00397670"/>
    <w:rsid w:val="00397AB6"/>
    <w:rsid w:val="00397ACA"/>
    <w:rsid w:val="00397E93"/>
    <w:rsid w:val="003A027D"/>
    <w:rsid w:val="003A0BCE"/>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2D57"/>
    <w:rsid w:val="003B2E9B"/>
    <w:rsid w:val="003B2F8D"/>
    <w:rsid w:val="003B37C7"/>
    <w:rsid w:val="003B391A"/>
    <w:rsid w:val="003B3C64"/>
    <w:rsid w:val="003B4C5A"/>
    <w:rsid w:val="003B4FAA"/>
    <w:rsid w:val="003B547A"/>
    <w:rsid w:val="003B660E"/>
    <w:rsid w:val="003B6898"/>
    <w:rsid w:val="003B6EC0"/>
    <w:rsid w:val="003B708B"/>
    <w:rsid w:val="003B75B9"/>
    <w:rsid w:val="003C087B"/>
    <w:rsid w:val="003C0C3A"/>
    <w:rsid w:val="003C0DA2"/>
    <w:rsid w:val="003C12C3"/>
    <w:rsid w:val="003C1A18"/>
    <w:rsid w:val="003C2637"/>
    <w:rsid w:val="003C2A6B"/>
    <w:rsid w:val="003C2A6F"/>
    <w:rsid w:val="003C2DC1"/>
    <w:rsid w:val="003C32B4"/>
    <w:rsid w:val="003C447E"/>
    <w:rsid w:val="003C4907"/>
    <w:rsid w:val="003C5824"/>
    <w:rsid w:val="003C5C41"/>
    <w:rsid w:val="003C5DB8"/>
    <w:rsid w:val="003C6583"/>
    <w:rsid w:val="003C669D"/>
    <w:rsid w:val="003C6877"/>
    <w:rsid w:val="003C697C"/>
    <w:rsid w:val="003C6B6A"/>
    <w:rsid w:val="003C6D56"/>
    <w:rsid w:val="003C7062"/>
    <w:rsid w:val="003C7447"/>
    <w:rsid w:val="003C7461"/>
    <w:rsid w:val="003D052C"/>
    <w:rsid w:val="003D0788"/>
    <w:rsid w:val="003D132A"/>
    <w:rsid w:val="003D1517"/>
    <w:rsid w:val="003D1D50"/>
    <w:rsid w:val="003D22CD"/>
    <w:rsid w:val="003D232D"/>
    <w:rsid w:val="003D286B"/>
    <w:rsid w:val="003D2938"/>
    <w:rsid w:val="003D2A77"/>
    <w:rsid w:val="003D2F8A"/>
    <w:rsid w:val="003D34B6"/>
    <w:rsid w:val="003D3FBA"/>
    <w:rsid w:val="003D402B"/>
    <w:rsid w:val="003D5076"/>
    <w:rsid w:val="003D54B0"/>
    <w:rsid w:val="003D6041"/>
    <w:rsid w:val="003D6FF3"/>
    <w:rsid w:val="003D764F"/>
    <w:rsid w:val="003D76EF"/>
    <w:rsid w:val="003D7ED6"/>
    <w:rsid w:val="003E0042"/>
    <w:rsid w:val="003E0667"/>
    <w:rsid w:val="003E0BCE"/>
    <w:rsid w:val="003E0C7C"/>
    <w:rsid w:val="003E0DF3"/>
    <w:rsid w:val="003E13E0"/>
    <w:rsid w:val="003E1660"/>
    <w:rsid w:val="003E192A"/>
    <w:rsid w:val="003E1CD1"/>
    <w:rsid w:val="003E2A2D"/>
    <w:rsid w:val="003E47D4"/>
    <w:rsid w:val="003E50B9"/>
    <w:rsid w:val="003E5945"/>
    <w:rsid w:val="003E64A9"/>
    <w:rsid w:val="003E7905"/>
    <w:rsid w:val="003F0336"/>
    <w:rsid w:val="003F0B20"/>
    <w:rsid w:val="003F0F29"/>
    <w:rsid w:val="003F2642"/>
    <w:rsid w:val="003F3686"/>
    <w:rsid w:val="003F3FCC"/>
    <w:rsid w:val="003F51BF"/>
    <w:rsid w:val="003F5547"/>
    <w:rsid w:val="003F5C40"/>
    <w:rsid w:val="003F6E12"/>
    <w:rsid w:val="003F6F8B"/>
    <w:rsid w:val="003F75ED"/>
    <w:rsid w:val="004002B7"/>
    <w:rsid w:val="00400561"/>
    <w:rsid w:val="00400F31"/>
    <w:rsid w:val="004023BA"/>
    <w:rsid w:val="00403279"/>
    <w:rsid w:val="004038D6"/>
    <w:rsid w:val="00405051"/>
    <w:rsid w:val="0040536B"/>
    <w:rsid w:val="004054EA"/>
    <w:rsid w:val="00405600"/>
    <w:rsid w:val="00406B4D"/>
    <w:rsid w:val="004070F7"/>
    <w:rsid w:val="00407120"/>
    <w:rsid w:val="00410A9D"/>
    <w:rsid w:val="00410E6A"/>
    <w:rsid w:val="0041107E"/>
    <w:rsid w:val="00411FF8"/>
    <w:rsid w:val="004135A2"/>
    <w:rsid w:val="00413E68"/>
    <w:rsid w:val="0041443C"/>
    <w:rsid w:val="0041488F"/>
    <w:rsid w:val="00414B99"/>
    <w:rsid w:val="004154F7"/>
    <w:rsid w:val="00416D44"/>
    <w:rsid w:val="004176FF"/>
    <w:rsid w:val="00417A1E"/>
    <w:rsid w:val="00420574"/>
    <w:rsid w:val="00421178"/>
    <w:rsid w:val="00421A27"/>
    <w:rsid w:val="00421D0A"/>
    <w:rsid w:val="004224E8"/>
    <w:rsid w:val="004226C3"/>
    <w:rsid w:val="004228BA"/>
    <w:rsid w:val="00423793"/>
    <w:rsid w:val="004241C5"/>
    <w:rsid w:val="0042488F"/>
    <w:rsid w:val="00424FA7"/>
    <w:rsid w:val="00425486"/>
    <w:rsid w:val="00425A3C"/>
    <w:rsid w:val="00425D2C"/>
    <w:rsid w:val="004264CB"/>
    <w:rsid w:val="0042650D"/>
    <w:rsid w:val="00426A87"/>
    <w:rsid w:val="00427007"/>
    <w:rsid w:val="004304E5"/>
    <w:rsid w:val="004309D8"/>
    <w:rsid w:val="004313D1"/>
    <w:rsid w:val="00431DA4"/>
    <w:rsid w:val="00432110"/>
    <w:rsid w:val="004328EE"/>
    <w:rsid w:val="00432DA1"/>
    <w:rsid w:val="00433073"/>
    <w:rsid w:val="00433EBE"/>
    <w:rsid w:val="00434406"/>
    <w:rsid w:val="004346A2"/>
    <w:rsid w:val="00434978"/>
    <w:rsid w:val="00434D22"/>
    <w:rsid w:val="00436E1B"/>
    <w:rsid w:val="0044057E"/>
    <w:rsid w:val="00440FED"/>
    <w:rsid w:val="00441B92"/>
    <w:rsid w:val="00443A9F"/>
    <w:rsid w:val="00443AD8"/>
    <w:rsid w:val="00443F8D"/>
    <w:rsid w:val="0044474B"/>
    <w:rsid w:val="0044582F"/>
    <w:rsid w:val="00445FF7"/>
    <w:rsid w:val="004462FB"/>
    <w:rsid w:val="004508A8"/>
    <w:rsid w:val="00451816"/>
    <w:rsid w:val="00451BAE"/>
    <w:rsid w:val="00452CA7"/>
    <w:rsid w:val="0045316D"/>
    <w:rsid w:val="00453341"/>
    <w:rsid w:val="00453924"/>
    <w:rsid w:val="004545C6"/>
    <w:rsid w:val="00454DCA"/>
    <w:rsid w:val="00454E26"/>
    <w:rsid w:val="00456544"/>
    <w:rsid w:val="00456649"/>
    <w:rsid w:val="004567B7"/>
    <w:rsid w:val="004567DC"/>
    <w:rsid w:val="00456856"/>
    <w:rsid w:val="00456DC2"/>
    <w:rsid w:val="004571EF"/>
    <w:rsid w:val="00457803"/>
    <w:rsid w:val="00457868"/>
    <w:rsid w:val="00457B40"/>
    <w:rsid w:val="0046047A"/>
    <w:rsid w:val="00461210"/>
    <w:rsid w:val="00461700"/>
    <w:rsid w:val="00461884"/>
    <w:rsid w:val="004619EE"/>
    <w:rsid w:val="00461AAC"/>
    <w:rsid w:val="00462490"/>
    <w:rsid w:val="00462AC9"/>
    <w:rsid w:val="004632FD"/>
    <w:rsid w:val="004634EB"/>
    <w:rsid w:val="00463BE3"/>
    <w:rsid w:val="00463DC3"/>
    <w:rsid w:val="00465299"/>
    <w:rsid w:val="00466A0F"/>
    <w:rsid w:val="00466EEC"/>
    <w:rsid w:val="00467150"/>
    <w:rsid w:val="0046795B"/>
    <w:rsid w:val="00467C0D"/>
    <w:rsid w:val="004708C0"/>
    <w:rsid w:val="00470B6B"/>
    <w:rsid w:val="0047115F"/>
    <w:rsid w:val="004715CB"/>
    <w:rsid w:val="00471863"/>
    <w:rsid w:val="00471EB2"/>
    <w:rsid w:val="00472167"/>
    <w:rsid w:val="004722B1"/>
    <w:rsid w:val="004722E4"/>
    <w:rsid w:val="00473777"/>
    <w:rsid w:val="00473A14"/>
    <w:rsid w:val="004742A2"/>
    <w:rsid w:val="004745A9"/>
    <w:rsid w:val="00474871"/>
    <w:rsid w:val="00474BA4"/>
    <w:rsid w:val="00474CA8"/>
    <w:rsid w:val="00474E43"/>
    <w:rsid w:val="0047551D"/>
    <w:rsid w:val="004766DA"/>
    <w:rsid w:val="00476894"/>
    <w:rsid w:val="00476A55"/>
    <w:rsid w:val="00477D9A"/>
    <w:rsid w:val="004803CC"/>
    <w:rsid w:val="004806D3"/>
    <w:rsid w:val="0048076D"/>
    <w:rsid w:val="0048134D"/>
    <w:rsid w:val="00481624"/>
    <w:rsid w:val="00481765"/>
    <w:rsid w:val="00481D90"/>
    <w:rsid w:val="00482700"/>
    <w:rsid w:val="00482CD4"/>
    <w:rsid w:val="00483261"/>
    <w:rsid w:val="0048328A"/>
    <w:rsid w:val="00484377"/>
    <w:rsid w:val="004845E6"/>
    <w:rsid w:val="00485B23"/>
    <w:rsid w:val="00485B50"/>
    <w:rsid w:val="00486A7A"/>
    <w:rsid w:val="004872F8"/>
    <w:rsid w:val="004874E4"/>
    <w:rsid w:val="0049070D"/>
    <w:rsid w:val="00490A39"/>
    <w:rsid w:val="00490D2E"/>
    <w:rsid w:val="00490E82"/>
    <w:rsid w:val="00491BE4"/>
    <w:rsid w:val="00491DB2"/>
    <w:rsid w:val="00492877"/>
    <w:rsid w:val="00492A48"/>
    <w:rsid w:val="00493659"/>
    <w:rsid w:val="00495334"/>
    <w:rsid w:val="00495BA6"/>
    <w:rsid w:val="00495FFB"/>
    <w:rsid w:val="00496DC2"/>
    <w:rsid w:val="00496E75"/>
    <w:rsid w:val="00497F39"/>
    <w:rsid w:val="004A014C"/>
    <w:rsid w:val="004A04B9"/>
    <w:rsid w:val="004A0AA8"/>
    <w:rsid w:val="004A1EE9"/>
    <w:rsid w:val="004A1FE4"/>
    <w:rsid w:val="004A2103"/>
    <w:rsid w:val="004A2CA9"/>
    <w:rsid w:val="004A33EF"/>
    <w:rsid w:val="004A34C9"/>
    <w:rsid w:val="004A3CB5"/>
    <w:rsid w:val="004A49AC"/>
    <w:rsid w:val="004A537D"/>
    <w:rsid w:val="004A63F9"/>
    <w:rsid w:val="004A67F0"/>
    <w:rsid w:val="004A71C3"/>
    <w:rsid w:val="004A7769"/>
    <w:rsid w:val="004A77B1"/>
    <w:rsid w:val="004B23AD"/>
    <w:rsid w:val="004B2965"/>
    <w:rsid w:val="004B30AE"/>
    <w:rsid w:val="004B3265"/>
    <w:rsid w:val="004B3545"/>
    <w:rsid w:val="004B360E"/>
    <w:rsid w:val="004B3854"/>
    <w:rsid w:val="004B4224"/>
    <w:rsid w:val="004B4297"/>
    <w:rsid w:val="004B4647"/>
    <w:rsid w:val="004B6750"/>
    <w:rsid w:val="004B6B25"/>
    <w:rsid w:val="004B70D3"/>
    <w:rsid w:val="004B73E5"/>
    <w:rsid w:val="004B7455"/>
    <w:rsid w:val="004B74FF"/>
    <w:rsid w:val="004B7785"/>
    <w:rsid w:val="004B7CE4"/>
    <w:rsid w:val="004B7FDE"/>
    <w:rsid w:val="004C0401"/>
    <w:rsid w:val="004C0C49"/>
    <w:rsid w:val="004C1096"/>
    <w:rsid w:val="004C183D"/>
    <w:rsid w:val="004C25E2"/>
    <w:rsid w:val="004C394F"/>
    <w:rsid w:val="004C3EC7"/>
    <w:rsid w:val="004C3EEE"/>
    <w:rsid w:val="004C43B9"/>
    <w:rsid w:val="004C483D"/>
    <w:rsid w:val="004C49EA"/>
    <w:rsid w:val="004C4D15"/>
    <w:rsid w:val="004C4EBE"/>
    <w:rsid w:val="004C5485"/>
    <w:rsid w:val="004C673A"/>
    <w:rsid w:val="004C6DA5"/>
    <w:rsid w:val="004C795A"/>
    <w:rsid w:val="004C7F93"/>
    <w:rsid w:val="004D0A62"/>
    <w:rsid w:val="004D2629"/>
    <w:rsid w:val="004D26B8"/>
    <w:rsid w:val="004D2C2C"/>
    <w:rsid w:val="004D38C2"/>
    <w:rsid w:val="004D41DC"/>
    <w:rsid w:val="004D4506"/>
    <w:rsid w:val="004D4FBD"/>
    <w:rsid w:val="004D4FC0"/>
    <w:rsid w:val="004D58F7"/>
    <w:rsid w:val="004D5CE7"/>
    <w:rsid w:val="004D6381"/>
    <w:rsid w:val="004D6802"/>
    <w:rsid w:val="004D6F54"/>
    <w:rsid w:val="004D6F67"/>
    <w:rsid w:val="004D7DA8"/>
    <w:rsid w:val="004E01EE"/>
    <w:rsid w:val="004E0A7D"/>
    <w:rsid w:val="004E10CD"/>
    <w:rsid w:val="004E1401"/>
    <w:rsid w:val="004E2892"/>
    <w:rsid w:val="004E2904"/>
    <w:rsid w:val="004E362B"/>
    <w:rsid w:val="004E3681"/>
    <w:rsid w:val="004E39AE"/>
    <w:rsid w:val="004E3D74"/>
    <w:rsid w:val="004E4B17"/>
    <w:rsid w:val="004E4F55"/>
    <w:rsid w:val="004E5DE1"/>
    <w:rsid w:val="004E784B"/>
    <w:rsid w:val="004F0224"/>
    <w:rsid w:val="004F0995"/>
    <w:rsid w:val="004F0DB4"/>
    <w:rsid w:val="004F0E04"/>
    <w:rsid w:val="004F18F4"/>
    <w:rsid w:val="004F1CD3"/>
    <w:rsid w:val="004F1EBC"/>
    <w:rsid w:val="004F20E8"/>
    <w:rsid w:val="004F2577"/>
    <w:rsid w:val="004F3172"/>
    <w:rsid w:val="004F36CD"/>
    <w:rsid w:val="004F3806"/>
    <w:rsid w:val="004F3B71"/>
    <w:rsid w:val="004F3C31"/>
    <w:rsid w:val="004F3FE5"/>
    <w:rsid w:val="004F5154"/>
    <w:rsid w:val="004F5835"/>
    <w:rsid w:val="004F661C"/>
    <w:rsid w:val="004F6D99"/>
    <w:rsid w:val="004F6F5A"/>
    <w:rsid w:val="004F716B"/>
    <w:rsid w:val="005000E2"/>
    <w:rsid w:val="00500572"/>
    <w:rsid w:val="00500573"/>
    <w:rsid w:val="00500701"/>
    <w:rsid w:val="00500861"/>
    <w:rsid w:val="00500AA5"/>
    <w:rsid w:val="00501304"/>
    <w:rsid w:val="00501425"/>
    <w:rsid w:val="00501E32"/>
    <w:rsid w:val="00502140"/>
    <w:rsid w:val="0050292B"/>
    <w:rsid w:val="0050318B"/>
    <w:rsid w:val="00503289"/>
    <w:rsid w:val="005033E1"/>
    <w:rsid w:val="00503BA7"/>
    <w:rsid w:val="00503CF2"/>
    <w:rsid w:val="00504061"/>
    <w:rsid w:val="00504311"/>
    <w:rsid w:val="0050485C"/>
    <w:rsid w:val="00504AC6"/>
    <w:rsid w:val="00504B89"/>
    <w:rsid w:val="00504D75"/>
    <w:rsid w:val="00505D51"/>
    <w:rsid w:val="00506606"/>
    <w:rsid w:val="00506B5A"/>
    <w:rsid w:val="00506D47"/>
    <w:rsid w:val="0050754B"/>
    <w:rsid w:val="00507957"/>
    <w:rsid w:val="00510ABC"/>
    <w:rsid w:val="00511079"/>
    <w:rsid w:val="0051110D"/>
    <w:rsid w:val="00511411"/>
    <w:rsid w:val="005118F3"/>
    <w:rsid w:val="00511CDF"/>
    <w:rsid w:val="00512829"/>
    <w:rsid w:val="00512B7E"/>
    <w:rsid w:val="00513839"/>
    <w:rsid w:val="00513DEF"/>
    <w:rsid w:val="0051423C"/>
    <w:rsid w:val="005142E3"/>
    <w:rsid w:val="00514304"/>
    <w:rsid w:val="005143B3"/>
    <w:rsid w:val="005146D5"/>
    <w:rsid w:val="005148D4"/>
    <w:rsid w:val="00514C91"/>
    <w:rsid w:val="005153CE"/>
    <w:rsid w:val="005157D9"/>
    <w:rsid w:val="00516241"/>
    <w:rsid w:val="00516644"/>
    <w:rsid w:val="00516FD9"/>
    <w:rsid w:val="0051701F"/>
    <w:rsid w:val="00517491"/>
    <w:rsid w:val="0051791D"/>
    <w:rsid w:val="00517E67"/>
    <w:rsid w:val="00520D20"/>
    <w:rsid w:val="00520D28"/>
    <w:rsid w:val="00520D6D"/>
    <w:rsid w:val="00520FD7"/>
    <w:rsid w:val="005212FD"/>
    <w:rsid w:val="00521425"/>
    <w:rsid w:val="00521E52"/>
    <w:rsid w:val="00522684"/>
    <w:rsid w:val="00522E48"/>
    <w:rsid w:val="00523E75"/>
    <w:rsid w:val="005243E0"/>
    <w:rsid w:val="005256F3"/>
    <w:rsid w:val="00525CD4"/>
    <w:rsid w:val="0052610F"/>
    <w:rsid w:val="005265A3"/>
    <w:rsid w:val="00526783"/>
    <w:rsid w:val="00527457"/>
    <w:rsid w:val="0052773A"/>
    <w:rsid w:val="00527FB1"/>
    <w:rsid w:val="00530423"/>
    <w:rsid w:val="00530D12"/>
    <w:rsid w:val="0053107E"/>
    <w:rsid w:val="005312CB"/>
    <w:rsid w:val="0053162F"/>
    <w:rsid w:val="00531777"/>
    <w:rsid w:val="0053281C"/>
    <w:rsid w:val="00532AD0"/>
    <w:rsid w:val="00532ADF"/>
    <w:rsid w:val="0053311D"/>
    <w:rsid w:val="00533B93"/>
    <w:rsid w:val="0053400D"/>
    <w:rsid w:val="005340C9"/>
    <w:rsid w:val="005340F1"/>
    <w:rsid w:val="0053425A"/>
    <w:rsid w:val="00536264"/>
    <w:rsid w:val="00536698"/>
    <w:rsid w:val="005375FE"/>
    <w:rsid w:val="00537BD2"/>
    <w:rsid w:val="00540BFC"/>
    <w:rsid w:val="005411B3"/>
    <w:rsid w:val="0054146F"/>
    <w:rsid w:val="0054195A"/>
    <w:rsid w:val="005420DE"/>
    <w:rsid w:val="00542249"/>
    <w:rsid w:val="0054272B"/>
    <w:rsid w:val="00542FAA"/>
    <w:rsid w:val="005431F5"/>
    <w:rsid w:val="00543707"/>
    <w:rsid w:val="00543811"/>
    <w:rsid w:val="005439D2"/>
    <w:rsid w:val="00543EBB"/>
    <w:rsid w:val="00544213"/>
    <w:rsid w:val="0054486D"/>
    <w:rsid w:val="00544A7B"/>
    <w:rsid w:val="00544F8D"/>
    <w:rsid w:val="005452F5"/>
    <w:rsid w:val="005453F3"/>
    <w:rsid w:val="00545549"/>
    <w:rsid w:val="00546333"/>
    <w:rsid w:val="005467F7"/>
    <w:rsid w:val="005469F5"/>
    <w:rsid w:val="00546F36"/>
    <w:rsid w:val="005473D0"/>
    <w:rsid w:val="00547606"/>
    <w:rsid w:val="00550832"/>
    <w:rsid w:val="00550BE2"/>
    <w:rsid w:val="005518ED"/>
    <w:rsid w:val="00551E6D"/>
    <w:rsid w:val="00552093"/>
    <w:rsid w:val="005522EE"/>
    <w:rsid w:val="00553504"/>
    <w:rsid w:val="005537FE"/>
    <w:rsid w:val="00554239"/>
    <w:rsid w:val="00554C49"/>
    <w:rsid w:val="00554E06"/>
    <w:rsid w:val="00554E4B"/>
    <w:rsid w:val="00554EF3"/>
    <w:rsid w:val="0055519C"/>
    <w:rsid w:val="005554C1"/>
    <w:rsid w:val="00555F67"/>
    <w:rsid w:val="00555FD9"/>
    <w:rsid w:val="00556C9C"/>
    <w:rsid w:val="00556E32"/>
    <w:rsid w:val="005578D2"/>
    <w:rsid w:val="005602E2"/>
    <w:rsid w:val="005604F1"/>
    <w:rsid w:val="005606A4"/>
    <w:rsid w:val="005607B8"/>
    <w:rsid w:val="00560CF5"/>
    <w:rsid w:val="00560F5B"/>
    <w:rsid w:val="005613E1"/>
    <w:rsid w:val="0056272D"/>
    <w:rsid w:val="00562BAB"/>
    <w:rsid w:val="00562EDC"/>
    <w:rsid w:val="00563047"/>
    <w:rsid w:val="0056308E"/>
    <w:rsid w:val="005638C1"/>
    <w:rsid w:val="00563F16"/>
    <w:rsid w:val="00563F36"/>
    <w:rsid w:val="0056415C"/>
    <w:rsid w:val="005649BF"/>
    <w:rsid w:val="005650ED"/>
    <w:rsid w:val="00565869"/>
    <w:rsid w:val="00565A71"/>
    <w:rsid w:val="00566502"/>
    <w:rsid w:val="00567415"/>
    <w:rsid w:val="00567610"/>
    <w:rsid w:val="00570C64"/>
    <w:rsid w:val="00570D9F"/>
    <w:rsid w:val="0057185C"/>
    <w:rsid w:val="00571CA8"/>
    <w:rsid w:val="00572506"/>
    <w:rsid w:val="00572947"/>
    <w:rsid w:val="00572ABB"/>
    <w:rsid w:val="00573138"/>
    <w:rsid w:val="005734A7"/>
    <w:rsid w:val="00573809"/>
    <w:rsid w:val="00573E4B"/>
    <w:rsid w:val="00574122"/>
    <w:rsid w:val="005746C4"/>
    <w:rsid w:val="005749F0"/>
    <w:rsid w:val="00574B50"/>
    <w:rsid w:val="00576087"/>
    <w:rsid w:val="00576FF3"/>
    <w:rsid w:val="00577835"/>
    <w:rsid w:val="005779ED"/>
    <w:rsid w:val="00580679"/>
    <w:rsid w:val="00580793"/>
    <w:rsid w:val="00580A6C"/>
    <w:rsid w:val="00580C77"/>
    <w:rsid w:val="00581470"/>
    <w:rsid w:val="00581B62"/>
    <w:rsid w:val="00581BAD"/>
    <w:rsid w:val="00581D1F"/>
    <w:rsid w:val="00581D62"/>
    <w:rsid w:val="00582087"/>
    <w:rsid w:val="00582BA5"/>
    <w:rsid w:val="00582C6E"/>
    <w:rsid w:val="00582F21"/>
    <w:rsid w:val="005831DD"/>
    <w:rsid w:val="005838A8"/>
    <w:rsid w:val="00584320"/>
    <w:rsid w:val="0058475E"/>
    <w:rsid w:val="00585484"/>
    <w:rsid w:val="00585503"/>
    <w:rsid w:val="00586136"/>
    <w:rsid w:val="00587229"/>
    <w:rsid w:val="00587503"/>
    <w:rsid w:val="005876DE"/>
    <w:rsid w:val="00587F7F"/>
    <w:rsid w:val="00590E8D"/>
    <w:rsid w:val="00591511"/>
    <w:rsid w:val="00591E50"/>
    <w:rsid w:val="00592CDA"/>
    <w:rsid w:val="0059331A"/>
    <w:rsid w:val="00593A72"/>
    <w:rsid w:val="00595307"/>
    <w:rsid w:val="00595A8C"/>
    <w:rsid w:val="00595C2C"/>
    <w:rsid w:val="00595ECC"/>
    <w:rsid w:val="00596BBA"/>
    <w:rsid w:val="00597386"/>
    <w:rsid w:val="005975C4"/>
    <w:rsid w:val="00597AF5"/>
    <w:rsid w:val="00597ED8"/>
    <w:rsid w:val="005A0D1D"/>
    <w:rsid w:val="005A13FA"/>
    <w:rsid w:val="005A17AE"/>
    <w:rsid w:val="005A1951"/>
    <w:rsid w:val="005A1C9C"/>
    <w:rsid w:val="005A2B20"/>
    <w:rsid w:val="005A34D5"/>
    <w:rsid w:val="005A36E4"/>
    <w:rsid w:val="005A3943"/>
    <w:rsid w:val="005A4450"/>
    <w:rsid w:val="005A48B2"/>
    <w:rsid w:val="005A4904"/>
    <w:rsid w:val="005A515A"/>
    <w:rsid w:val="005A704D"/>
    <w:rsid w:val="005B3B59"/>
    <w:rsid w:val="005B3C6D"/>
    <w:rsid w:val="005B4045"/>
    <w:rsid w:val="005B4F3C"/>
    <w:rsid w:val="005B600D"/>
    <w:rsid w:val="005B609E"/>
    <w:rsid w:val="005B6988"/>
    <w:rsid w:val="005B6DF6"/>
    <w:rsid w:val="005B72EB"/>
    <w:rsid w:val="005B7B7D"/>
    <w:rsid w:val="005C069D"/>
    <w:rsid w:val="005C1948"/>
    <w:rsid w:val="005C2093"/>
    <w:rsid w:val="005C22F9"/>
    <w:rsid w:val="005C263C"/>
    <w:rsid w:val="005C2679"/>
    <w:rsid w:val="005C298C"/>
    <w:rsid w:val="005C4BFB"/>
    <w:rsid w:val="005C54DE"/>
    <w:rsid w:val="005C5870"/>
    <w:rsid w:val="005C5A85"/>
    <w:rsid w:val="005C6569"/>
    <w:rsid w:val="005C695C"/>
    <w:rsid w:val="005D059A"/>
    <w:rsid w:val="005D07C5"/>
    <w:rsid w:val="005D089E"/>
    <w:rsid w:val="005D0C2F"/>
    <w:rsid w:val="005D21B7"/>
    <w:rsid w:val="005D21C4"/>
    <w:rsid w:val="005D2DAD"/>
    <w:rsid w:val="005D3E09"/>
    <w:rsid w:val="005D4302"/>
    <w:rsid w:val="005D4CA6"/>
    <w:rsid w:val="005D545B"/>
    <w:rsid w:val="005D5A20"/>
    <w:rsid w:val="005D5C21"/>
    <w:rsid w:val="005D617E"/>
    <w:rsid w:val="005D624C"/>
    <w:rsid w:val="005D684E"/>
    <w:rsid w:val="005D70A3"/>
    <w:rsid w:val="005D786C"/>
    <w:rsid w:val="005D7FA3"/>
    <w:rsid w:val="005E00E5"/>
    <w:rsid w:val="005E0148"/>
    <w:rsid w:val="005E0222"/>
    <w:rsid w:val="005E049F"/>
    <w:rsid w:val="005E0BB6"/>
    <w:rsid w:val="005E0E1C"/>
    <w:rsid w:val="005E11FE"/>
    <w:rsid w:val="005E19D6"/>
    <w:rsid w:val="005E2CA2"/>
    <w:rsid w:val="005E3073"/>
    <w:rsid w:val="005E316A"/>
    <w:rsid w:val="005E34C3"/>
    <w:rsid w:val="005E3A0A"/>
    <w:rsid w:val="005E403A"/>
    <w:rsid w:val="005E663E"/>
    <w:rsid w:val="005E69B9"/>
    <w:rsid w:val="005E7088"/>
    <w:rsid w:val="005E7E1B"/>
    <w:rsid w:val="005F0108"/>
    <w:rsid w:val="005F0291"/>
    <w:rsid w:val="005F0ECC"/>
    <w:rsid w:val="005F19C9"/>
    <w:rsid w:val="005F21A5"/>
    <w:rsid w:val="005F2470"/>
    <w:rsid w:val="005F280F"/>
    <w:rsid w:val="005F28C6"/>
    <w:rsid w:val="005F2A4A"/>
    <w:rsid w:val="005F367F"/>
    <w:rsid w:val="005F38FB"/>
    <w:rsid w:val="005F3F16"/>
    <w:rsid w:val="005F4CFD"/>
    <w:rsid w:val="005F52CC"/>
    <w:rsid w:val="005F573C"/>
    <w:rsid w:val="005F5E6F"/>
    <w:rsid w:val="005F6090"/>
    <w:rsid w:val="005F6510"/>
    <w:rsid w:val="005F681C"/>
    <w:rsid w:val="005F6BD4"/>
    <w:rsid w:val="005F7188"/>
    <w:rsid w:val="005F7985"/>
    <w:rsid w:val="00600ACF"/>
    <w:rsid w:val="00600CEB"/>
    <w:rsid w:val="00602087"/>
    <w:rsid w:val="0060233C"/>
    <w:rsid w:val="00602642"/>
    <w:rsid w:val="00602A78"/>
    <w:rsid w:val="00602A84"/>
    <w:rsid w:val="00602AA1"/>
    <w:rsid w:val="00603123"/>
    <w:rsid w:val="006036F4"/>
    <w:rsid w:val="00604151"/>
    <w:rsid w:val="00604367"/>
    <w:rsid w:val="006044BE"/>
    <w:rsid w:val="0060475F"/>
    <w:rsid w:val="006047DF"/>
    <w:rsid w:val="00604804"/>
    <w:rsid w:val="00604906"/>
    <w:rsid w:val="00604DE1"/>
    <w:rsid w:val="006060C2"/>
    <w:rsid w:val="0060677D"/>
    <w:rsid w:val="00606A26"/>
    <w:rsid w:val="00607654"/>
    <w:rsid w:val="00607D81"/>
    <w:rsid w:val="00610747"/>
    <w:rsid w:val="00610C19"/>
    <w:rsid w:val="00610E03"/>
    <w:rsid w:val="0061176E"/>
    <w:rsid w:val="00612102"/>
    <w:rsid w:val="006122B7"/>
    <w:rsid w:val="00613A64"/>
    <w:rsid w:val="00613EA5"/>
    <w:rsid w:val="00614856"/>
    <w:rsid w:val="00614CD1"/>
    <w:rsid w:val="00614D57"/>
    <w:rsid w:val="006151F2"/>
    <w:rsid w:val="0061523B"/>
    <w:rsid w:val="0061567B"/>
    <w:rsid w:val="006156B9"/>
    <w:rsid w:val="00615AC8"/>
    <w:rsid w:val="00616260"/>
    <w:rsid w:val="0061689F"/>
    <w:rsid w:val="00616DA9"/>
    <w:rsid w:val="00616DF1"/>
    <w:rsid w:val="00617E97"/>
    <w:rsid w:val="00620CB5"/>
    <w:rsid w:val="00620E3E"/>
    <w:rsid w:val="0062152A"/>
    <w:rsid w:val="00621753"/>
    <w:rsid w:val="00622534"/>
    <w:rsid w:val="00623583"/>
    <w:rsid w:val="00623BBB"/>
    <w:rsid w:val="00624210"/>
    <w:rsid w:val="0062462F"/>
    <w:rsid w:val="006248C0"/>
    <w:rsid w:val="00624BA1"/>
    <w:rsid w:val="00624BFD"/>
    <w:rsid w:val="0062661B"/>
    <w:rsid w:val="00626721"/>
    <w:rsid w:val="00627832"/>
    <w:rsid w:val="00630118"/>
    <w:rsid w:val="00630514"/>
    <w:rsid w:val="00630C10"/>
    <w:rsid w:val="00630F5B"/>
    <w:rsid w:val="006310AE"/>
    <w:rsid w:val="006312F7"/>
    <w:rsid w:val="00631762"/>
    <w:rsid w:val="00632196"/>
    <w:rsid w:val="00632BA2"/>
    <w:rsid w:val="0063379F"/>
    <w:rsid w:val="00633BF2"/>
    <w:rsid w:val="00633F67"/>
    <w:rsid w:val="006345C3"/>
    <w:rsid w:val="0063530F"/>
    <w:rsid w:val="006362F9"/>
    <w:rsid w:val="006369A9"/>
    <w:rsid w:val="006373CD"/>
    <w:rsid w:val="00637E79"/>
    <w:rsid w:val="00640206"/>
    <w:rsid w:val="00640D8E"/>
    <w:rsid w:val="006411BD"/>
    <w:rsid w:val="00641283"/>
    <w:rsid w:val="006413CF"/>
    <w:rsid w:val="00641413"/>
    <w:rsid w:val="00641465"/>
    <w:rsid w:val="006415E2"/>
    <w:rsid w:val="0064165D"/>
    <w:rsid w:val="00642E8C"/>
    <w:rsid w:val="006433BD"/>
    <w:rsid w:val="00643562"/>
    <w:rsid w:val="00643784"/>
    <w:rsid w:val="0064415D"/>
    <w:rsid w:val="00644186"/>
    <w:rsid w:val="00644A21"/>
    <w:rsid w:val="00645C9F"/>
    <w:rsid w:val="00646305"/>
    <w:rsid w:val="00646864"/>
    <w:rsid w:val="00646A6C"/>
    <w:rsid w:val="006475E6"/>
    <w:rsid w:val="006479C9"/>
    <w:rsid w:val="006508B9"/>
    <w:rsid w:val="00650CA1"/>
    <w:rsid w:val="0065143C"/>
    <w:rsid w:val="0065177A"/>
    <w:rsid w:val="00651854"/>
    <w:rsid w:val="00652578"/>
    <w:rsid w:val="006539E8"/>
    <w:rsid w:val="00654235"/>
    <w:rsid w:val="00654546"/>
    <w:rsid w:val="00654693"/>
    <w:rsid w:val="006548D5"/>
    <w:rsid w:val="0065501F"/>
    <w:rsid w:val="006558D4"/>
    <w:rsid w:val="00656307"/>
    <w:rsid w:val="006565D8"/>
    <w:rsid w:val="00656B96"/>
    <w:rsid w:val="00656F79"/>
    <w:rsid w:val="0065736B"/>
    <w:rsid w:val="006575A9"/>
    <w:rsid w:val="006578E4"/>
    <w:rsid w:val="00657AE5"/>
    <w:rsid w:val="00661630"/>
    <w:rsid w:val="0066176E"/>
    <w:rsid w:val="006619B0"/>
    <w:rsid w:val="00662012"/>
    <w:rsid w:val="00662543"/>
    <w:rsid w:val="006626D0"/>
    <w:rsid w:val="006628E9"/>
    <w:rsid w:val="006641F4"/>
    <w:rsid w:val="00664592"/>
    <w:rsid w:val="00664E8C"/>
    <w:rsid w:val="00664FAF"/>
    <w:rsid w:val="00665F7C"/>
    <w:rsid w:val="0066699A"/>
    <w:rsid w:val="00666DFC"/>
    <w:rsid w:val="00666EBB"/>
    <w:rsid w:val="00667146"/>
    <w:rsid w:val="00667403"/>
    <w:rsid w:val="0066779E"/>
    <w:rsid w:val="00667FAF"/>
    <w:rsid w:val="006703D4"/>
    <w:rsid w:val="0067096D"/>
    <w:rsid w:val="00670AF4"/>
    <w:rsid w:val="006719E0"/>
    <w:rsid w:val="00671A0B"/>
    <w:rsid w:val="0067269D"/>
    <w:rsid w:val="00672988"/>
    <w:rsid w:val="00672C64"/>
    <w:rsid w:val="00673401"/>
    <w:rsid w:val="00674E6A"/>
    <w:rsid w:val="00675800"/>
    <w:rsid w:val="00675CF4"/>
    <w:rsid w:val="00676A64"/>
    <w:rsid w:val="00676EC7"/>
    <w:rsid w:val="00677925"/>
    <w:rsid w:val="006779BF"/>
    <w:rsid w:val="00680AB4"/>
    <w:rsid w:val="00680F46"/>
    <w:rsid w:val="00681EF4"/>
    <w:rsid w:val="00681FDC"/>
    <w:rsid w:val="00682696"/>
    <w:rsid w:val="006826D0"/>
    <w:rsid w:val="00682B53"/>
    <w:rsid w:val="00682F27"/>
    <w:rsid w:val="006835DF"/>
    <w:rsid w:val="006859DB"/>
    <w:rsid w:val="006861FC"/>
    <w:rsid w:val="0068678D"/>
    <w:rsid w:val="00686BB3"/>
    <w:rsid w:val="00687488"/>
    <w:rsid w:val="00687F4D"/>
    <w:rsid w:val="006904ED"/>
    <w:rsid w:val="00690E2E"/>
    <w:rsid w:val="006913A0"/>
    <w:rsid w:val="006915D7"/>
    <w:rsid w:val="0069257E"/>
    <w:rsid w:val="00692602"/>
    <w:rsid w:val="00692814"/>
    <w:rsid w:val="00692F71"/>
    <w:rsid w:val="006932E7"/>
    <w:rsid w:val="00693347"/>
    <w:rsid w:val="0069334C"/>
    <w:rsid w:val="006941A6"/>
    <w:rsid w:val="00694786"/>
    <w:rsid w:val="006948EF"/>
    <w:rsid w:val="00694BCB"/>
    <w:rsid w:val="00695292"/>
    <w:rsid w:val="0069639F"/>
    <w:rsid w:val="0069673B"/>
    <w:rsid w:val="00696D63"/>
    <w:rsid w:val="006A022F"/>
    <w:rsid w:val="006A032F"/>
    <w:rsid w:val="006A0CF8"/>
    <w:rsid w:val="006A0DD3"/>
    <w:rsid w:val="006A146E"/>
    <w:rsid w:val="006A1BEB"/>
    <w:rsid w:val="006A23E4"/>
    <w:rsid w:val="006A28C1"/>
    <w:rsid w:val="006A3022"/>
    <w:rsid w:val="006A3493"/>
    <w:rsid w:val="006A387D"/>
    <w:rsid w:val="006A41AE"/>
    <w:rsid w:val="006A47AE"/>
    <w:rsid w:val="006A4810"/>
    <w:rsid w:val="006A4856"/>
    <w:rsid w:val="006A5039"/>
    <w:rsid w:val="006A5329"/>
    <w:rsid w:val="006A5474"/>
    <w:rsid w:val="006A564B"/>
    <w:rsid w:val="006B05B5"/>
    <w:rsid w:val="006B1545"/>
    <w:rsid w:val="006B1654"/>
    <w:rsid w:val="006B22AE"/>
    <w:rsid w:val="006B23B9"/>
    <w:rsid w:val="006B2DA7"/>
    <w:rsid w:val="006B2DF4"/>
    <w:rsid w:val="006B2F4D"/>
    <w:rsid w:val="006B306B"/>
    <w:rsid w:val="006B349C"/>
    <w:rsid w:val="006B3682"/>
    <w:rsid w:val="006B3974"/>
    <w:rsid w:val="006B48CB"/>
    <w:rsid w:val="006B564D"/>
    <w:rsid w:val="006B7A12"/>
    <w:rsid w:val="006C1445"/>
    <w:rsid w:val="006C188E"/>
    <w:rsid w:val="006C1932"/>
    <w:rsid w:val="006C3AB0"/>
    <w:rsid w:val="006C4994"/>
    <w:rsid w:val="006C4A6A"/>
    <w:rsid w:val="006C4FC1"/>
    <w:rsid w:val="006C51A5"/>
    <w:rsid w:val="006C529D"/>
    <w:rsid w:val="006C576A"/>
    <w:rsid w:val="006C59D2"/>
    <w:rsid w:val="006C64F6"/>
    <w:rsid w:val="006C6798"/>
    <w:rsid w:val="006C6DF7"/>
    <w:rsid w:val="006C7344"/>
    <w:rsid w:val="006D01E0"/>
    <w:rsid w:val="006D0481"/>
    <w:rsid w:val="006D0826"/>
    <w:rsid w:val="006D0C12"/>
    <w:rsid w:val="006D0E6B"/>
    <w:rsid w:val="006D2146"/>
    <w:rsid w:val="006D3269"/>
    <w:rsid w:val="006D632E"/>
    <w:rsid w:val="006D6C9C"/>
    <w:rsid w:val="006D75FD"/>
    <w:rsid w:val="006D7D06"/>
    <w:rsid w:val="006E0610"/>
    <w:rsid w:val="006E094A"/>
    <w:rsid w:val="006E12B1"/>
    <w:rsid w:val="006E12CD"/>
    <w:rsid w:val="006E13D1"/>
    <w:rsid w:val="006E207F"/>
    <w:rsid w:val="006E4D0C"/>
    <w:rsid w:val="006E4D1B"/>
    <w:rsid w:val="006E5B78"/>
    <w:rsid w:val="006E5F4F"/>
    <w:rsid w:val="006E67BA"/>
    <w:rsid w:val="006E699D"/>
    <w:rsid w:val="006E6BA3"/>
    <w:rsid w:val="006E7033"/>
    <w:rsid w:val="006F1116"/>
    <w:rsid w:val="006F2654"/>
    <w:rsid w:val="006F3196"/>
    <w:rsid w:val="006F3C54"/>
    <w:rsid w:val="006F418C"/>
    <w:rsid w:val="006F4F34"/>
    <w:rsid w:val="006F5E64"/>
    <w:rsid w:val="006F5F8D"/>
    <w:rsid w:val="006F60DE"/>
    <w:rsid w:val="006F65FB"/>
    <w:rsid w:val="006F7914"/>
    <w:rsid w:val="006F7C0B"/>
    <w:rsid w:val="006F7E46"/>
    <w:rsid w:val="00700AB4"/>
    <w:rsid w:val="00700FCA"/>
    <w:rsid w:val="007015C6"/>
    <w:rsid w:val="00701645"/>
    <w:rsid w:val="00701BBC"/>
    <w:rsid w:val="00702289"/>
    <w:rsid w:val="00702A86"/>
    <w:rsid w:val="00702D5A"/>
    <w:rsid w:val="00702EF7"/>
    <w:rsid w:val="00703571"/>
    <w:rsid w:val="00703989"/>
    <w:rsid w:val="007042E9"/>
    <w:rsid w:val="00704495"/>
    <w:rsid w:val="00704521"/>
    <w:rsid w:val="007065F8"/>
    <w:rsid w:val="00706B7B"/>
    <w:rsid w:val="007074B0"/>
    <w:rsid w:val="0070791E"/>
    <w:rsid w:val="00707933"/>
    <w:rsid w:val="00710109"/>
    <w:rsid w:val="007106CE"/>
    <w:rsid w:val="007108D3"/>
    <w:rsid w:val="00710BF8"/>
    <w:rsid w:val="0071118B"/>
    <w:rsid w:val="00711C66"/>
    <w:rsid w:val="00711E13"/>
    <w:rsid w:val="0071280A"/>
    <w:rsid w:val="00712968"/>
    <w:rsid w:val="00712EDA"/>
    <w:rsid w:val="007136D0"/>
    <w:rsid w:val="007139B2"/>
    <w:rsid w:val="007155A9"/>
    <w:rsid w:val="007158E1"/>
    <w:rsid w:val="00716AA6"/>
    <w:rsid w:val="0071705B"/>
    <w:rsid w:val="007170B5"/>
    <w:rsid w:val="007171CA"/>
    <w:rsid w:val="007178C5"/>
    <w:rsid w:val="00717BF4"/>
    <w:rsid w:val="00717C84"/>
    <w:rsid w:val="007201DD"/>
    <w:rsid w:val="00720505"/>
    <w:rsid w:val="00720923"/>
    <w:rsid w:val="007236A3"/>
    <w:rsid w:val="007239B6"/>
    <w:rsid w:val="007242CF"/>
    <w:rsid w:val="0072490A"/>
    <w:rsid w:val="00724935"/>
    <w:rsid w:val="00724B64"/>
    <w:rsid w:val="0072517D"/>
    <w:rsid w:val="0072579D"/>
    <w:rsid w:val="00726878"/>
    <w:rsid w:val="007276CD"/>
    <w:rsid w:val="00730C9A"/>
    <w:rsid w:val="00730DCD"/>
    <w:rsid w:val="0073124A"/>
    <w:rsid w:val="00731B79"/>
    <w:rsid w:val="007320A2"/>
    <w:rsid w:val="007322BD"/>
    <w:rsid w:val="007327CE"/>
    <w:rsid w:val="00732AAD"/>
    <w:rsid w:val="00733893"/>
    <w:rsid w:val="007339DB"/>
    <w:rsid w:val="00734A05"/>
    <w:rsid w:val="00734ECC"/>
    <w:rsid w:val="0073501C"/>
    <w:rsid w:val="00735C6F"/>
    <w:rsid w:val="0073645D"/>
    <w:rsid w:val="007368EE"/>
    <w:rsid w:val="00737A31"/>
    <w:rsid w:val="0074077B"/>
    <w:rsid w:val="00740DE0"/>
    <w:rsid w:val="00740F23"/>
    <w:rsid w:val="0074149C"/>
    <w:rsid w:val="0074245E"/>
    <w:rsid w:val="00742A6A"/>
    <w:rsid w:val="00742B44"/>
    <w:rsid w:val="00742B46"/>
    <w:rsid w:val="00742CB9"/>
    <w:rsid w:val="00745277"/>
    <w:rsid w:val="00745C87"/>
    <w:rsid w:val="0074656E"/>
    <w:rsid w:val="0074717C"/>
    <w:rsid w:val="007472D5"/>
    <w:rsid w:val="00747392"/>
    <w:rsid w:val="0074789B"/>
    <w:rsid w:val="00752245"/>
    <w:rsid w:val="00752B03"/>
    <w:rsid w:val="00753454"/>
    <w:rsid w:val="00753BB5"/>
    <w:rsid w:val="0075416C"/>
    <w:rsid w:val="007544F1"/>
    <w:rsid w:val="00755E4A"/>
    <w:rsid w:val="00756832"/>
    <w:rsid w:val="00757C0D"/>
    <w:rsid w:val="00757F0B"/>
    <w:rsid w:val="007623C8"/>
    <w:rsid w:val="0076266D"/>
    <w:rsid w:val="007626D0"/>
    <w:rsid w:val="00763388"/>
    <w:rsid w:val="007645BC"/>
    <w:rsid w:val="0076465D"/>
    <w:rsid w:val="007651CA"/>
    <w:rsid w:val="00765228"/>
    <w:rsid w:val="007653D6"/>
    <w:rsid w:val="00766AEA"/>
    <w:rsid w:val="00767519"/>
    <w:rsid w:val="00767589"/>
    <w:rsid w:val="00767FFE"/>
    <w:rsid w:val="007704E1"/>
    <w:rsid w:val="00770798"/>
    <w:rsid w:val="00770E5C"/>
    <w:rsid w:val="007714C8"/>
    <w:rsid w:val="00771BAE"/>
    <w:rsid w:val="00772569"/>
    <w:rsid w:val="00772E8C"/>
    <w:rsid w:val="00772FDB"/>
    <w:rsid w:val="0077316B"/>
    <w:rsid w:val="00773527"/>
    <w:rsid w:val="007736D3"/>
    <w:rsid w:val="00774FE8"/>
    <w:rsid w:val="0077500F"/>
    <w:rsid w:val="0077548E"/>
    <w:rsid w:val="00775699"/>
    <w:rsid w:val="0077609A"/>
    <w:rsid w:val="00776259"/>
    <w:rsid w:val="00776B4A"/>
    <w:rsid w:val="00777315"/>
    <w:rsid w:val="00777539"/>
    <w:rsid w:val="00777907"/>
    <w:rsid w:val="00777A6D"/>
    <w:rsid w:val="007802E4"/>
    <w:rsid w:val="00780919"/>
    <w:rsid w:val="0078117D"/>
    <w:rsid w:val="00781589"/>
    <w:rsid w:val="007820D0"/>
    <w:rsid w:val="007826C8"/>
    <w:rsid w:val="0078333C"/>
    <w:rsid w:val="00784190"/>
    <w:rsid w:val="0078449A"/>
    <w:rsid w:val="0078457B"/>
    <w:rsid w:val="00784756"/>
    <w:rsid w:val="00784E4D"/>
    <w:rsid w:val="0078539D"/>
    <w:rsid w:val="007856C1"/>
    <w:rsid w:val="00785B0F"/>
    <w:rsid w:val="00787051"/>
    <w:rsid w:val="00787165"/>
    <w:rsid w:val="00787FB6"/>
    <w:rsid w:val="0079018D"/>
    <w:rsid w:val="007901DC"/>
    <w:rsid w:val="00790DEC"/>
    <w:rsid w:val="00791A00"/>
    <w:rsid w:val="00791A21"/>
    <w:rsid w:val="00791DDB"/>
    <w:rsid w:val="00792CEE"/>
    <w:rsid w:val="007936A8"/>
    <w:rsid w:val="00793806"/>
    <w:rsid w:val="007941FD"/>
    <w:rsid w:val="007944EC"/>
    <w:rsid w:val="007962B4"/>
    <w:rsid w:val="00796F15"/>
    <w:rsid w:val="007973A3"/>
    <w:rsid w:val="0079794C"/>
    <w:rsid w:val="00797E22"/>
    <w:rsid w:val="00797F63"/>
    <w:rsid w:val="007A066F"/>
    <w:rsid w:val="007A08DD"/>
    <w:rsid w:val="007A138F"/>
    <w:rsid w:val="007A1640"/>
    <w:rsid w:val="007A1AE4"/>
    <w:rsid w:val="007A3383"/>
    <w:rsid w:val="007A39DF"/>
    <w:rsid w:val="007A3F66"/>
    <w:rsid w:val="007A43ED"/>
    <w:rsid w:val="007A4BDD"/>
    <w:rsid w:val="007A5F8F"/>
    <w:rsid w:val="007A60DA"/>
    <w:rsid w:val="007A6386"/>
    <w:rsid w:val="007A67D9"/>
    <w:rsid w:val="007A6CFD"/>
    <w:rsid w:val="007A72EE"/>
    <w:rsid w:val="007A7F58"/>
    <w:rsid w:val="007B0397"/>
    <w:rsid w:val="007B0ADB"/>
    <w:rsid w:val="007B15BA"/>
    <w:rsid w:val="007B1A92"/>
    <w:rsid w:val="007B26EE"/>
    <w:rsid w:val="007B3502"/>
    <w:rsid w:val="007B3E6D"/>
    <w:rsid w:val="007B4437"/>
    <w:rsid w:val="007B44ED"/>
    <w:rsid w:val="007B491A"/>
    <w:rsid w:val="007B5370"/>
    <w:rsid w:val="007B61F5"/>
    <w:rsid w:val="007B63FA"/>
    <w:rsid w:val="007B6C13"/>
    <w:rsid w:val="007B7496"/>
    <w:rsid w:val="007C0802"/>
    <w:rsid w:val="007C12BE"/>
    <w:rsid w:val="007C13E0"/>
    <w:rsid w:val="007C2399"/>
    <w:rsid w:val="007C2739"/>
    <w:rsid w:val="007C2FCA"/>
    <w:rsid w:val="007C2FFC"/>
    <w:rsid w:val="007C32EF"/>
    <w:rsid w:val="007C35EA"/>
    <w:rsid w:val="007C4B0F"/>
    <w:rsid w:val="007C4BEF"/>
    <w:rsid w:val="007C4DAD"/>
    <w:rsid w:val="007C5830"/>
    <w:rsid w:val="007C5933"/>
    <w:rsid w:val="007C599E"/>
    <w:rsid w:val="007C5DB8"/>
    <w:rsid w:val="007C5DCE"/>
    <w:rsid w:val="007C6CA2"/>
    <w:rsid w:val="007D05B2"/>
    <w:rsid w:val="007D05FA"/>
    <w:rsid w:val="007D0664"/>
    <w:rsid w:val="007D0C44"/>
    <w:rsid w:val="007D1972"/>
    <w:rsid w:val="007D1F33"/>
    <w:rsid w:val="007D3307"/>
    <w:rsid w:val="007D44CE"/>
    <w:rsid w:val="007D54F8"/>
    <w:rsid w:val="007D5E27"/>
    <w:rsid w:val="007D6483"/>
    <w:rsid w:val="007D6EE3"/>
    <w:rsid w:val="007D6F64"/>
    <w:rsid w:val="007D7B3C"/>
    <w:rsid w:val="007D7C4F"/>
    <w:rsid w:val="007D7EAB"/>
    <w:rsid w:val="007E02AB"/>
    <w:rsid w:val="007E07CC"/>
    <w:rsid w:val="007E1782"/>
    <w:rsid w:val="007E25AB"/>
    <w:rsid w:val="007E2F41"/>
    <w:rsid w:val="007E4243"/>
    <w:rsid w:val="007E44FC"/>
    <w:rsid w:val="007E5AC2"/>
    <w:rsid w:val="007E6146"/>
    <w:rsid w:val="007E6EE3"/>
    <w:rsid w:val="007E7611"/>
    <w:rsid w:val="007E79C5"/>
    <w:rsid w:val="007F0798"/>
    <w:rsid w:val="007F1F8C"/>
    <w:rsid w:val="007F25E1"/>
    <w:rsid w:val="007F2845"/>
    <w:rsid w:val="007F2A69"/>
    <w:rsid w:val="007F38A2"/>
    <w:rsid w:val="007F416C"/>
    <w:rsid w:val="007F43BC"/>
    <w:rsid w:val="007F4740"/>
    <w:rsid w:val="007F7072"/>
    <w:rsid w:val="007F7551"/>
    <w:rsid w:val="008006C6"/>
    <w:rsid w:val="00800C52"/>
    <w:rsid w:val="00801192"/>
    <w:rsid w:val="008012C1"/>
    <w:rsid w:val="0080153E"/>
    <w:rsid w:val="008018C8"/>
    <w:rsid w:val="0080263A"/>
    <w:rsid w:val="0080329D"/>
    <w:rsid w:val="00803832"/>
    <w:rsid w:val="008055A9"/>
    <w:rsid w:val="00805A16"/>
    <w:rsid w:val="00806A4F"/>
    <w:rsid w:val="0080742D"/>
    <w:rsid w:val="00807AE5"/>
    <w:rsid w:val="008100AC"/>
    <w:rsid w:val="00810C05"/>
    <w:rsid w:val="00810DFA"/>
    <w:rsid w:val="0081151E"/>
    <w:rsid w:val="00811A5F"/>
    <w:rsid w:val="00812498"/>
    <w:rsid w:val="008127E6"/>
    <w:rsid w:val="0081336E"/>
    <w:rsid w:val="00813432"/>
    <w:rsid w:val="00813928"/>
    <w:rsid w:val="00814AE1"/>
    <w:rsid w:val="00815255"/>
    <w:rsid w:val="008154EC"/>
    <w:rsid w:val="00817F01"/>
    <w:rsid w:val="00820AFE"/>
    <w:rsid w:val="00820DC7"/>
    <w:rsid w:val="00820FFB"/>
    <w:rsid w:val="0082117C"/>
    <w:rsid w:val="00821698"/>
    <w:rsid w:val="008216B5"/>
    <w:rsid w:val="00821DD2"/>
    <w:rsid w:val="008221FE"/>
    <w:rsid w:val="00822BF5"/>
    <w:rsid w:val="00823182"/>
    <w:rsid w:val="00823EA3"/>
    <w:rsid w:val="00824894"/>
    <w:rsid w:val="00824FFF"/>
    <w:rsid w:val="00825366"/>
    <w:rsid w:val="008254B2"/>
    <w:rsid w:val="00825E84"/>
    <w:rsid w:val="008268A2"/>
    <w:rsid w:val="00826C7B"/>
    <w:rsid w:val="00826DD9"/>
    <w:rsid w:val="00826E01"/>
    <w:rsid w:val="008275D8"/>
    <w:rsid w:val="008277A8"/>
    <w:rsid w:val="008278B6"/>
    <w:rsid w:val="00827B03"/>
    <w:rsid w:val="008307ED"/>
    <w:rsid w:val="00830B3B"/>
    <w:rsid w:val="00830D3E"/>
    <w:rsid w:val="008314CC"/>
    <w:rsid w:val="0083311B"/>
    <w:rsid w:val="0083350F"/>
    <w:rsid w:val="008335F1"/>
    <w:rsid w:val="008339E9"/>
    <w:rsid w:val="00834358"/>
    <w:rsid w:val="008345AE"/>
    <w:rsid w:val="008346BD"/>
    <w:rsid w:val="008348D1"/>
    <w:rsid w:val="00834923"/>
    <w:rsid w:val="00834CED"/>
    <w:rsid w:val="00834E9A"/>
    <w:rsid w:val="008359EB"/>
    <w:rsid w:val="008366B2"/>
    <w:rsid w:val="00836B7A"/>
    <w:rsid w:val="00837B90"/>
    <w:rsid w:val="008402BD"/>
    <w:rsid w:val="00840809"/>
    <w:rsid w:val="008409AA"/>
    <w:rsid w:val="00840DE8"/>
    <w:rsid w:val="00840FB8"/>
    <w:rsid w:val="00842E0C"/>
    <w:rsid w:val="00843A6E"/>
    <w:rsid w:val="00843A7A"/>
    <w:rsid w:val="008447F5"/>
    <w:rsid w:val="00846292"/>
    <w:rsid w:val="00847543"/>
    <w:rsid w:val="008505AD"/>
    <w:rsid w:val="008506E1"/>
    <w:rsid w:val="00850D96"/>
    <w:rsid w:val="008515EE"/>
    <w:rsid w:val="00851A8E"/>
    <w:rsid w:val="00851EC7"/>
    <w:rsid w:val="008528D3"/>
    <w:rsid w:val="00852972"/>
    <w:rsid w:val="00854553"/>
    <w:rsid w:val="00855B86"/>
    <w:rsid w:val="00856B4C"/>
    <w:rsid w:val="00856D47"/>
    <w:rsid w:val="00857DEC"/>
    <w:rsid w:val="00860874"/>
    <w:rsid w:val="008609A3"/>
    <w:rsid w:val="00860A68"/>
    <w:rsid w:val="00860BCC"/>
    <w:rsid w:val="00860DB1"/>
    <w:rsid w:val="008612FC"/>
    <w:rsid w:val="008615DA"/>
    <w:rsid w:val="00862008"/>
    <w:rsid w:val="0086208F"/>
    <w:rsid w:val="00862720"/>
    <w:rsid w:val="008628C8"/>
    <w:rsid w:val="00862B2A"/>
    <w:rsid w:val="008630B9"/>
    <w:rsid w:val="00863743"/>
    <w:rsid w:val="00863B0B"/>
    <w:rsid w:val="00863F37"/>
    <w:rsid w:val="0086406B"/>
    <w:rsid w:val="00864C8C"/>
    <w:rsid w:val="008659FB"/>
    <w:rsid w:val="00866BE0"/>
    <w:rsid w:val="0086709D"/>
    <w:rsid w:val="00867651"/>
    <w:rsid w:val="00867B5A"/>
    <w:rsid w:val="008706C0"/>
    <w:rsid w:val="00871536"/>
    <w:rsid w:val="00871A19"/>
    <w:rsid w:val="00873F35"/>
    <w:rsid w:val="00874009"/>
    <w:rsid w:val="00874158"/>
    <w:rsid w:val="008743F3"/>
    <w:rsid w:val="0087444A"/>
    <w:rsid w:val="00874525"/>
    <w:rsid w:val="00874A67"/>
    <w:rsid w:val="00875139"/>
    <w:rsid w:val="00875410"/>
    <w:rsid w:val="0087582F"/>
    <w:rsid w:val="00875D10"/>
    <w:rsid w:val="00875E77"/>
    <w:rsid w:val="00876786"/>
    <w:rsid w:val="008769C0"/>
    <w:rsid w:val="0088097D"/>
    <w:rsid w:val="00880EDF"/>
    <w:rsid w:val="008811FD"/>
    <w:rsid w:val="00881647"/>
    <w:rsid w:val="0088218E"/>
    <w:rsid w:val="00882DE6"/>
    <w:rsid w:val="00883A20"/>
    <w:rsid w:val="00883D4D"/>
    <w:rsid w:val="00883F78"/>
    <w:rsid w:val="00884B59"/>
    <w:rsid w:val="008850BA"/>
    <w:rsid w:val="00885580"/>
    <w:rsid w:val="00885876"/>
    <w:rsid w:val="00886185"/>
    <w:rsid w:val="008861D9"/>
    <w:rsid w:val="0088638C"/>
    <w:rsid w:val="00886EDF"/>
    <w:rsid w:val="008879C3"/>
    <w:rsid w:val="00890305"/>
    <w:rsid w:val="00890868"/>
    <w:rsid w:val="008908E5"/>
    <w:rsid w:val="00891216"/>
    <w:rsid w:val="008946DE"/>
    <w:rsid w:val="00894716"/>
    <w:rsid w:val="00894B58"/>
    <w:rsid w:val="00894FDC"/>
    <w:rsid w:val="008957D3"/>
    <w:rsid w:val="00895D1C"/>
    <w:rsid w:val="00896414"/>
    <w:rsid w:val="0089643F"/>
    <w:rsid w:val="0089716F"/>
    <w:rsid w:val="00897C71"/>
    <w:rsid w:val="008A0F54"/>
    <w:rsid w:val="008A1033"/>
    <w:rsid w:val="008A16F9"/>
    <w:rsid w:val="008A1D3E"/>
    <w:rsid w:val="008A3038"/>
    <w:rsid w:val="008A4B16"/>
    <w:rsid w:val="008A4D63"/>
    <w:rsid w:val="008A4E11"/>
    <w:rsid w:val="008A5045"/>
    <w:rsid w:val="008A516B"/>
    <w:rsid w:val="008A5A07"/>
    <w:rsid w:val="008A6D62"/>
    <w:rsid w:val="008A752A"/>
    <w:rsid w:val="008A78E3"/>
    <w:rsid w:val="008B13E9"/>
    <w:rsid w:val="008B2257"/>
    <w:rsid w:val="008B2436"/>
    <w:rsid w:val="008B31D7"/>
    <w:rsid w:val="008B3822"/>
    <w:rsid w:val="008B3B51"/>
    <w:rsid w:val="008B4057"/>
    <w:rsid w:val="008B4145"/>
    <w:rsid w:val="008B5015"/>
    <w:rsid w:val="008B5071"/>
    <w:rsid w:val="008B5290"/>
    <w:rsid w:val="008B66FC"/>
    <w:rsid w:val="008B6747"/>
    <w:rsid w:val="008B67BC"/>
    <w:rsid w:val="008B6A40"/>
    <w:rsid w:val="008B72EC"/>
    <w:rsid w:val="008B7333"/>
    <w:rsid w:val="008C09F6"/>
    <w:rsid w:val="008C0D36"/>
    <w:rsid w:val="008C1A08"/>
    <w:rsid w:val="008C25E6"/>
    <w:rsid w:val="008C2CFD"/>
    <w:rsid w:val="008C3FDC"/>
    <w:rsid w:val="008C47AD"/>
    <w:rsid w:val="008C4A72"/>
    <w:rsid w:val="008C5BF9"/>
    <w:rsid w:val="008C5F03"/>
    <w:rsid w:val="008C603A"/>
    <w:rsid w:val="008C641D"/>
    <w:rsid w:val="008C6B39"/>
    <w:rsid w:val="008C71C8"/>
    <w:rsid w:val="008D152C"/>
    <w:rsid w:val="008D167D"/>
    <w:rsid w:val="008D1DF1"/>
    <w:rsid w:val="008D3116"/>
    <w:rsid w:val="008D492A"/>
    <w:rsid w:val="008D4931"/>
    <w:rsid w:val="008D4B58"/>
    <w:rsid w:val="008D4B7F"/>
    <w:rsid w:val="008D4B8A"/>
    <w:rsid w:val="008D4C0B"/>
    <w:rsid w:val="008D5A1B"/>
    <w:rsid w:val="008D6541"/>
    <w:rsid w:val="008D6616"/>
    <w:rsid w:val="008D7D7B"/>
    <w:rsid w:val="008D7FA0"/>
    <w:rsid w:val="008E0F52"/>
    <w:rsid w:val="008E1CDF"/>
    <w:rsid w:val="008E1E5A"/>
    <w:rsid w:val="008E216C"/>
    <w:rsid w:val="008E22E0"/>
    <w:rsid w:val="008E2316"/>
    <w:rsid w:val="008E3063"/>
    <w:rsid w:val="008E34BE"/>
    <w:rsid w:val="008E3AA8"/>
    <w:rsid w:val="008E3E57"/>
    <w:rsid w:val="008E3F44"/>
    <w:rsid w:val="008E42CE"/>
    <w:rsid w:val="008E42F4"/>
    <w:rsid w:val="008E4333"/>
    <w:rsid w:val="008E4885"/>
    <w:rsid w:val="008E4A31"/>
    <w:rsid w:val="008E5657"/>
    <w:rsid w:val="008E56A0"/>
    <w:rsid w:val="008E5E51"/>
    <w:rsid w:val="008E73DE"/>
    <w:rsid w:val="008F00DB"/>
    <w:rsid w:val="008F0FE3"/>
    <w:rsid w:val="008F1264"/>
    <w:rsid w:val="008F16CF"/>
    <w:rsid w:val="008F26DC"/>
    <w:rsid w:val="008F2908"/>
    <w:rsid w:val="008F29BE"/>
    <w:rsid w:val="008F3C46"/>
    <w:rsid w:val="008F47C6"/>
    <w:rsid w:val="008F5CCD"/>
    <w:rsid w:val="008F6647"/>
    <w:rsid w:val="008F6C4D"/>
    <w:rsid w:val="008F700E"/>
    <w:rsid w:val="008F7D70"/>
    <w:rsid w:val="008F7F6C"/>
    <w:rsid w:val="00900343"/>
    <w:rsid w:val="009006A2"/>
    <w:rsid w:val="00900C39"/>
    <w:rsid w:val="00900E6C"/>
    <w:rsid w:val="0090102B"/>
    <w:rsid w:val="00901448"/>
    <w:rsid w:val="00901BFE"/>
    <w:rsid w:val="00901DDE"/>
    <w:rsid w:val="009021A6"/>
    <w:rsid w:val="00902686"/>
    <w:rsid w:val="00903077"/>
    <w:rsid w:val="009036BC"/>
    <w:rsid w:val="00903D30"/>
    <w:rsid w:val="00904414"/>
    <w:rsid w:val="00905197"/>
    <w:rsid w:val="00905C47"/>
    <w:rsid w:val="00906379"/>
    <w:rsid w:val="009068E2"/>
    <w:rsid w:val="00906A8C"/>
    <w:rsid w:val="0090766A"/>
    <w:rsid w:val="009101EA"/>
    <w:rsid w:val="009106FC"/>
    <w:rsid w:val="009108E5"/>
    <w:rsid w:val="009118BB"/>
    <w:rsid w:val="0091191F"/>
    <w:rsid w:val="00911E7D"/>
    <w:rsid w:val="009120A9"/>
    <w:rsid w:val="00913083"/>
    <w:rsid w:val="009134C3"/>
    <w:rsid w:val="00914A54"/>
    <w:rsid w:val="009155A7"/>
    <w:rsid w:val="00915B81"/>
    <w:rsid w:val="00915D6B"/>
    <w:rsid w:val="009160DF"/>
    <w:rsid w:val="009162C7"/>
    <w:rsid w:val="00916A43"/>
    <w:rsid w:val="00916EC2"/>
    <w:rsid w:val="00920816"/>
    <w:rsid w:val="009213BD"/>
    <w:rsid w:val="009214AE"/>
    <w:rsid w:val="00922331"/>
    <w:rsid w:val="00922A7F"/>
    <w:rsid w:val="009230A6"/>
    <w:rsid w:val="00923703"/>
    <w:rsid w:val="00924627"/>
    <w:rsid w:val="00924732"/>
    <w:rsid w:val="009250A8"/>
    <w:rsid w:val="00925AB5"/>
    <w:rsid w:val="00925BE6"/>
    <w:rsid w:val="00925DA0"/>
    <w:rsid w:val="00926697"/>
    <w:rsid w:val="009266DA"/>
    <w:rsid w:val="00926E1D"/>
    <w:rsid w:val="00926F61"/>
    <w:rsid w:val="00926FA9"/>
    <w:rsid w:val="00927019"/>
    <w:rsid w:val="0093123D"/>
    <w:rsid w:val="00931EE0"/>
    <w:rsid w:val="00932333"/>
    <w:rsid w:val="00933040"/>
    <w:rsid w:val="009330E9"/>
    <w:rsid w:val="009339E0"/>
    <w:rsid w:val="00934D97"/>
    <w:rsid w:val="00935D05"/>
    <w:rsid w:val="00935D15"/>
    <w:rsid w:val="009364C3"/>
    <w:rsid w:val="00936C56"/>
    <w:rsid w:val="00937E7C"/>
    <w:rsid w:val="009411FB"/>
    <w:rsid w:val="009414A9"/>
    <w:rsid w:val="0094163E"/>
    <w:rsid w:val="00941B71"/>
    <w:rsid w:val="00941DF9"/>
    <w:rsid w:val="00942108"/>
    <w:rsid w:val="009421AD"/>
    <w:rsid w:val="0094221C"/>
    <w:rsid w:val="0094409C"/>
    <w:rsid w:val="00944159"/>
    <w:rsid w:val="0094480C"/>
    <w:rsid w:val="009449B2"/>
    <w:rsid w:val="00944A82"/>
    <w:rsid w:val="00944BA5"/>
    <w:rsid w:val="00946C4D"/>
    <w:rsid w:val="009474C8"/>
    <w:rsid w:val="009476E2"/>
    <w:rsid w:val="0095019A"/>
    <w:rsid w:val="0095285B"/>
    <w:rsid w:val="00953FE9"/>
    <w:rsid w:val="009541D7"/>
    <w:rsid w:val="00954417"/>
    <w:rsid w:val="0095481C"/>
    <w:rsid w:val="0095526F"/>
    <w:rsid w:val="00955886"/>
    <w:rsid w:val="009567E6"/>
    <w:rsid w:val="00957030"/>
    <w:rsid w:val="00957076"/>
    <w:rsid w:val="00957132"/>
    <w:rsid w:val="0095743E"/>
    <w:rsid w:val="009576FD"/>
    <w:rsid w:val="009578EB"/>
    <w:rsid w:val="009578FF"/>
    <w:rsid w:val="00957934"/>
    <w:rsid w:val="00957E54"/>
    <w:rsid w:val="009601C7"/>
    <w:rsid w:val="009603CE"/>
    <w:rsid w:val="00960446"/>
    <w:rsid w:val="00960BBC"/>
    <w:rsid w:val="009610ED"/>
    <w:rsid w:val="00961EE9"/>
    <w:rsid w:val="009632C5"/>
    <w:rsid w:val="009633BB"/>
    <w:rsid w:val="00963A36"/>
    <w:rsid w:val="00963D8A"/>
    <w:rsid w:val="009643DA"/>
    <w:rsid w:val="0096485F"/>
    <w:rsid w:val="00965C40"/>
    <w:rsid w:val="00967354"/>
    <w:rsid w:val="00967492"/>
    <w:rsid w:val="00970168"/>
    <w:rsid w:val="009714E7"/>
    <w:rsid w:val="00971592"/>
    <w:rsid w:val="00971617"/>
    <w:rsid w:val="009717F8"/>
    <w:rsid w:val="00971875"/>
    <w:rsid w:val="00971DDF"/>
    <w:rsid w:val="0097225C"/>
    <w:rsid w:val="009726CD"/>
    <w:rsid w:val="009729F0"/>
    <w:rsid w:val="009731D6"/>
    <w:rsid w:val="00973FC6"/>
    <w:rsid w:val="00974746"/>
    <w:rsid w:val="00975119"/>
    <w:rsid w:val="009763ED"/>
    <w:rsid w:val="00976F04"/>
    <w:rsid w:val="009777F4"/>
    <w:rsid w:val="00977A0F"/>
    <w:rsid w:val="00977AC1"/>
    <w:rsid w:val="00977AD8"/>
    <w:rsid w:val="009804A8"/>
    <w:rsid w:val="00980A10"/>
    <w:rsid w:val="00981004"/>
    <w:rsid w:val="00981130"/>
    <w:rsid w:val="0098163D"/>
    <w:rsid w:val="0098229C"/>
    <w:rsid w:val="0098289D"/>
    <w:rsid w:val="009832F2"/>
    <w:rsid w:val="009835E0"/>
    <w:rsid w:val="00983D46"/>
    <w:rsid w:val="00983DCA"/>
    <w:rsid w:val="00983E7D"/>
    <w:rsid w:val="00985EF7"/>
    <w:rsid w:val="00986093"/>
    <w:rsid w:val="00986146"/>
    <w:rsid w:val="009865EB"/>
    <w:rsid w:val="00986C02"/>
    <w:rsid w:val="00986CF9"/>
    <w:rsid w:val="0098727B"/>
    <w:rsid w:val="00987416"/>
    <w:rsid w:val="00990BFF"/>
    <w:rsid w:val="00990C0E"/>
    <w:rsid w:val="00990D75"/>
    <w:rsid w:val="00991093"/>
    <w:rsid w:val="0099163B"/>
    <w:rsid w:val="00992343"/>
    <w:rsid w:val="0099383D"/>
    <w:rsid w:val="009938B1"/>
    <w:rsid w:val="00996258"/>
    <w:rsid w:val="00996306"/>
    <w:rsid w:val="00996744"/>
    <w:rsid w:val="009972CD"/>
    <w:rsid w:val="00997BF3"/>
    <w:rsid w:val="00997CF4"/>
    <w:rsid w:val="009A009C"/>
    <w:rsid w:val="009A0B9E"/>
    <w:rsid w:val="009A0F90"/>
    <w:rsid w:val="009A1169"/>
    <w:rsid w:val="009A164C"/>
    <w:rsid w:val="009A16B7"/>
    <w:rsid w:val="009A1AAC"/>
    <w:rsid w:val="009A1B38"/>
    <w:rsid w:val="009A268C"/>
    <w:rsid w:val="009A26DF"/>
    <w:rsid w:val="009A2BB6"/>
    <w:rsid w:val="009A2CB8"/>
    <w:rsid w:val="009A3137"/>
    <w:rsid w:val="009A32C8"/>
    <w:rsid w:val="009A3789"/>
    <w:rsid w:val="009A3D54"/>
    <w:rsid w:val="009A422A"/>
    <w:rsid w:val="009A45A2"/>
    <w:rsid w:val="009A47D4"/>
    <w:rsid w:val="009A607A"/>
    <w:rsid w:val="009A6598"/>
    <w:rsid w:val="009A6919"/>
    <w:rsid w:val="009A6AC7"/>
    <w:rsid w:val="009B01DF"/>
    <w:rsid w:val="009B0408"/>
    <w:rsid w:val="009B0843"/>
    <w:rsid w:val="009B0DEE"/>
    <w:rsid w:val="009B1335"/>
    <w:rsid w:val="009B13FA"/>
    <w:rsid w:val="009B176D"/>
    <w:rsid w:val="009B1E47"/>
    <w:rsid w:val="009B2CED"/>
    <w:rsid w:val="009B3054"/>
    <w:rsid w:val="009B335D"/>
    <w:rsid w:val="009B3811"/>
    <w:rsid w:val="009B3C90"/>
    <w:rsid w:val="009B7116"/>
    <w:rsid w:val="009B76E3"/>
    <w:rsid w:val="009B76F9"/>
    <w:rsid w:val="009B7A72"/>
    <w:rsid w:val="009B7AD2"/>
    <w:rsid w:val="009B7B3F"/>
    <w:rsid w:val="009B7BB8"/>
    <w:rsid w:val="009C0CB7"/>
    <w:rsid w:val="009C0E9B"/>
    <w:rsid w:val="009C0EF5"/>
    <w:rsid w:val="009C126A"/>
    <w:rsid w:val="009C1D4C"/>
    <w:rsid w:val="009C2DD2"/>
    <w:rsid w:val="009C34C9"/>
    <w:rsid w:val="009C3982"/>
    <w:rsid w:val="009C441F"/>
    <w:rsid w:val="009C4A07"/>
    <w:rsid w:val="009C4B8E"/>
    <w:rsid w:val="009C51D5"/>
    <w:rsid w:val="009C543C"/>
    <w:rsid w:val="009C5553"/>
    <w:rsid w:val="009C599A"/>
    <w:rsid w:val="009C5EFF"/>
    <w:rsid w:val="009C650E"/>
    <w:rsid w:val="009C6A58"/>
    <w:rsid w:val="009C7062"/>
    <w:rsid w:val="009C70DB"/>
    <w:rsid w:val="009C71B2"/>
    <w:rsid w:val="009C7361"/>
    <w:rsid w:val="009C774A"/>
    <w:rsid w:val="009C7871"/>
    <w:rsid w:val="009D19BC"/>
    <w:rsid w:val="009D2348"/>
    <w:rsid w:val="009D2CE0"/>
    <w:rsid w:val="009D2D05"/>
    <w:rsid w:val="009D2EA8"/>
    <w:rsid w:val="009D2F0C"/>
    <w:rsid w:val="009D3306"/>
    <w:rsid w:val="009D3578"/>
    <w:rsid w:val="009D3A5F"/>
    <w:rsid w:val="009D4F88"/>
    <w:rsid w:val="009D5193"/>
    <w:rsid w:val="009D57CA"/>
    <w:rsid w:val="009D5837"/>
    <w:rsid w:val="009D5C32"/>
    <w:rsid w:val="009D5C56"/>
    <w:rsid w:val="009D6472"/>
    <w:rsid w:val="009D746A"/>
    <w:rsid w:val="009D79F4"/>
    <w:rsid w:val="009D7D19"/>
    <w:rsid w:val="009D7F92"/>
    <w:rsid w:val="009E0489"/>
    <w:rsid w:val="009E0B21"/>
    <w:rsid w:val="009E126D"/>
    <w:rsid w:val="009E1C66"/>
    <w:rsid w:val="009E2201"/>
    <w:rsid w:val="009E33D7"/>
    <w:rsid w:val="009E3CD1"/>
    <w:rsid w:val="009E4D42"/>
    <w:rsid w:val="009E5156"/>
    <w:rsid w:val="009E5520"/>
    <w:rsid w:val="009E5AF5"/>
    <w:rsid w:val="009E5EB5"/>
    <w:rsid w:val="009E6D3C"/>
    <w:rsid w:val="009E74F0"/>
    <w:rsid w:val="009E797B"/>
    <w:rsid w:val="009E7F23"/>
    <w:rsid w:val="009F0768"/>
    <w:rsid w:val="009F0B87"/>
    <w:rsid w:val="009F102A"/>
    <w:rsid w:val="009F151C"/>
    <w:rsid w:val="009F1F64"/>
    <w:rsid w:val="009F2A19"/>
    <w:rsid w:val="009F4107"/>
    <w:rsid w:val="009F4957"/>
    <w:rsid w:val="009F514E"/>
    <w:rsid w:val="009F5864"/>
    <w:rsid w:val="009F596C"/>
    <w:rsid w:val="009F6A45"/>
    <w:rsid w:val="009F7867"/>
    <w:rsid w:val="009F7D66"/>
    <w:rsid w:val="00A00BD2"/>
    <w:rsid w:val="00A00E56"/>
    <w:rsid w:val="00A01134"/>
    <w:rsid w:val="00A01452"/>
    <w:rsid w:val="00A024BC"/>
    <w:rsid w:val="00A027F3"/>
    <w:rsid w:val="00A028EB"/>
    <w:rsid w:val="00A0306A"/>
    <w:rsid w:val="00A03978"/>
    <w:rsid w:val="00A03AB1"/>
    <w:rsid w:val="00A03D5E"/>
    <w:rsid w:val="00A04D7E"/>
    <w:rsid w:val="00A051D9"/>
    <w:rsid w:val="00A05953"/>
    <w:rsid w:val="00A05DF3"/>
    <w:rsid w:val="00A0607C"/>
    <w:rsid w:val="00A0662A"/>
    <w:rsid w:val="00A07E08"/>
    <w:rsid w:val="00A10954"/>
    <w:rsid w:val="00A10D79"/>
    <w:rsid w:val="00A10F48"/>
    <w:rsid w:val="00A10FDA"/>
    <w:rsid w:val="00A110D4"/>
    <w:rsid w:val="00A11535"/>
    <w:rsid w:val="00A119B9"/>
    <w:rsid w:val="00A11E56"/>
    <w:rsid w:val="00A11FFC"/>
    <w:rsid w:val="00A12785"/>
    <w:rsid w:val="00A12798"/>
    <w:rsid w:val="00A13A09"/>
    <w:rsid w:val="00A13AB1"/>
    <w:rsid w:val="00A13C7B"/>
    <w:rsid w:val="00A14A01"/>
    <w:rsid w:val="00A153BE"/>
    <w:rsid w:val="00A15DEE"/>
    <w:rsid w:val="00A1631C"/>
    <w:rsid w:val="00A16462"/>
    <w:rsid w:val="00A167B5"/>
    <w:rsid w:val="00A16DBE"/>
    <w:rsid w:val="00A1708B"/>
    <w:rsid w:val="00A17129"/>
    <w:rsid w:val="00A179E0"/>
    <w:rsid w:val="00A17C4F"/>
    <w:rsid w:val="00A20653"/>
    <w:rsid w:val="00A206D3"/>
    <w:rsid w:val="00A20A39"/>
    <w:rsid w:val="00A222AB"/>
    <w:rsid w:val="00A2234D"/>
    <w:rsid w:val="00A22F11"/>
    <w:rsid w:val="00A238BD"/>
    <w:rsid w:val="00A238FC"/>
    <w:rsid w:val="00A23DCA"/>
    <w:rsid w:val="00A240D8"/>
    <w:rsid w:val="00A243E4"/>
    <w:rsid w:val="00A2459D"/>
    <w:rsid w:val="00A24E23"/>
    <w:rsid w:val="00A2566C"/>
    <w:rsid w:val="00A25D81"/>
    <w:rsid w:val="00A25F05"/>
    <w:rsid w:val="00A26491"/>
    <w:rsid w:val="00A26575"/>
    <w:rsid w:val="00A2691D"/>
    <w:rsid w:val="00A27016"/>
    <w:rsid w:val="00A303F8"/>
    <w:rsid w:val="00A30B2D"/>
    <w:rsid w:val="00A3106B"/>
    <w:rsid w:val="00A311AE"/>
    <w:rsid w:val="00A312A6"/>
    <w:rsid w:val="00A3130E"/>
    <w:rsid w:val="00A3193B"/>
    <w:rsid w:val="00A31A53"/>
    <w:rsid w:val="00A324CF"/>
    <w:rsid w:val="00A32E8B"/>
    <w:rsid w:val="00A32ED6"/>
    <w:rsid w:val="00A33776"/>
    <w:rsid w:val="00A3446F"/>
    <w:rsid w:val="00A344A5"/>
    <w:rsid w:val="00A346C3"/>
    <w:rsid w:val="00A34D4A"/>
    <w:rsid w:val="00A35645"/>
    <w:rsid w:val="00A35A25"/>
    <w:rsid w:val="00A35DF8"/>
    <w:rsid w:val="00A36155"/>
    <w:rsid w:val="00A3629E"/>
    <w:rsid w:val="00A36545"/>
    <w:rsid w:val="00A365AD"/>
    <w:rsid w:val="00A36BF3"/>
    <w:rsid w:val="00A4021B"/>
    <w:rsid w:val="00A40C4D"/>
    <w:rsid w:val="00A42A85"/>
    <w:rsid w:val="00A42D07"/>
    <w:rsid w:val="00A4312C"/>
    <w:rsid w:val="00A43CF9"/>
    <w:rsid w:val="00A44B43"/>
    <w:rsid w:val="00A44D3D"/>
    <w:rsid w:val="00A4503E"/>
    <w:rsid w:val="00A450C0"/>
    <w:rsid w:val="00A45468"/>
    <w:rsid w:val="00A4547F"/>
    <w:rsid w:val="00A45AA0"/>
    <w:rsid w:val="00A4681A"/>
    <w:rsid w:val="00A46FF0"/>
    <w:rsid w:val="00A471A8"/>
    <w:rsid w:val="00A4791B"/>
    <w:rsid w:val="00A50153"/>
    <w:rsid w:val="00A505BA"/>
    <w:rsid w:val="00A50A48"/>
    <w:rsid w:val="00A50EF6"/>
    <w:rsid w:val="00A510CA"/>
    <w:rsid w:val="00A51180"/>
    <w:rsid w:val="00A51242"/>
    <w:rsid w:val="00A51522"/>
    <w:rsid w:val="00A51573"/>
    <w:rsid w:val="00A51A5E"/>
    <w:rsid w:val="00A52895"/>
    <w:rsid w:val="00A52D7D"/>
    <w:rsid w:val="00A539A5"/>
    <w:rsid w:val="00A53C6F"/>
    <w:rsid w:val="00A53DA0"/>
    <w:rsid w:val="00A53FEE"/>
    <w:rsid w:val="00A5404D"/>
    <w:rsid w:val="00A5459D"/>
    <w:rsid w:val="00A555A7"/>
    <w:rsid w:val="00A5670A"/>
    <w:rsid w:val="00A5765D"/>
    <w:rsid w:val="00A579BD"/>
    <w:rsid w:val="00A57C7C"/>
    <w:rsid w:val="00A607CB"/>
    <w:rsid w:val="00A6099E"/>
    <w:rsid w:val="00A60A2E"/>
    <w:rsid w:val="00A6174B"/>
    <w:rsid w:val="00A61DC1"/>
    <w:rsid w:val="00A6351F"/>
    <w:rsid w:val="00A63809"/>
    <w:rsid w:val="00A64278"/>
    <w:rsid w:val="00A644FF"/>
    <w:rsid w:val="00A64A6E"/>
    <w:rsid w:val="00A6519F"/>
    <w:rsid w:val="00A6537A"/>
    <w:rsid w:val="00A65931"/>
    <w:rsid w:val="00A65A70"/>
    <w:rsid w:val="00A65E4D"/>
    <w:rsid w:val="00A6665F"/>
    <w:rsid w:val="00A66F36"/>
    <w:rsid w:val="00A676D9"/>
    <w:rsid w:val="00A67EFC"/>
    <w:rsid w:val="00A7031E"/>
    <w:rsid w:val="00A71140"/>
    <w:rsid w:val="00A71C40"/>
    <w:rsid w:val="00A7205E"/>
    <w:rsid w:val="00A73655"/>
    <w:rsid w:val="00A73680"/>
    <w:rsid w:val="00A74692"/>
    <w:rsid w:val="00A75A52"/>
    <w:rsid w:val="00A7618B"/>
    <w:rsid w:val="00A7640B"/>
    <w:rsid w:val="00A769A4"/>
    <w:rsid w:val="00A76F23"/>
    <w:rsid w:val="00A773A8"/>
    <w:rsid w:val="00A7774F"/>
    <w:rsid w:val="00A7778B"/>
    <w:rsid w:val="00A803BC"/>
    <w:rsid w:val="00A80969"/>
    <w:rsid w:val="00A8140B"/>
    <w:rsid w:val="00A82AB3"/>
    <w:rsid w:val="00A839C6"/>
    <w:rsid w:val="00A83A04"/>
    <w:rsid w:val="00A84314"/>
    <w:rsid w:val="00A84CE1"/>
    <w:rsid w:val="00A85798"/>
    <w:rsid w:val="00A8609D"/>
    <w:rsid w:val="00A865DC"/>
    <w:rsid w:val="00A86EA7"/>
    <w:rsid w:val="00A8789E"/>
    <w:rsid w:val="00A87B9E"/>
    <w:rsid w:val="00A90116"/>
    <w:rsid w:val="00A9061C"/>
    <w:rsid w:val="00A90D57"/>
    <w:rsid w:val="00A90EC7"/>
    <w:rsid w:val="00A91244"/>
    <w:rsid w:val="00A91774"/>
    <w:rsid w:val="00A91C7F"/>
    <w:rsid w:val="00A92066"/>
    <w:rsid w:val="00A92776"/>
    <w:rsid w:val="00A93181"/>
    <w:rsid w:val="00A9343C"/>
    <w:rsid w:val="00A938E6"/>
    <w:rsid w:val="00A93B83"/>
    <w:rsid w:val="00A93C79"/>
    <w:rsid w:val="00A93CCF"/>
    <w:rsid w:val="00A94243"/>
    <w:rsid w:val="00A94E4E"/>
    <w:rsid w:val="00A95514"/>
    <w:rsid w:val="00A95BD5"/>
    <w:rsid w:val="00A95C53"/>
    <w:rsid w:val="00A960EF"/>
    <w:rsid w:val="00A968A1"/>
    <w:rsid w:val="00A96CD6"/>
    <w:rsid w:val="00A96F78"/>
    <w:rsid w:val="00A975C4"/>
    <w:rsid w:val="00A979E1"/>
    <w:rsid w:val="00AA0B9E"/>
    <w:rsid w:val="00AA0BA1"/>
    <w:rsid w:val="00AA1087"/>
    <w:rsid w:val="00AA22E4"/>
    <w:rsid w:val="00AA247C"/>
    <w:rsid w:val="00AA25A9"/>
    <w:rsid w:val="00AA26D9"/>
    <w:rsid w:val="00AA278A"/>
    <w:rsid w:val="00AA2ADE"/>
    <w:rsid w:val="00AA3183"/>
    <w:rsid w:val="00AA34FA"/>
    <w:rsid w:val="00AA3EEB"/>
    <w:rsid w:val="00AA3F69"/>
    <w:rsid w:val="00AA4605"/>
    <w:rsid w:val="00AA4A05"/>
    <w:rsid w:val="00AA51AD"/>
    <w:rsid w:val="00AA543B"/>
    <w:rsid w:val="00AA5614"/>
    <w:rsid w:val="00AA591E"/>
    <w:rsid w:val="00AA5DF4"/>
    <w:rsid w:val="00AA5F55"/>
    <w:rsid w:val="00AA6459"/>
    <w:rsid w:val="00AA65C9"/>
    <w:rsid w:val="00AA66CB"/>
    <w:rsid w:val="00AA7C2A"/>
    <w:rsid w:val="00AB0A32"/>
    <w:rsid w:val="00AB0B90"/>
    <w:rsid w:val="00AB0BB2"/>
    <w:rsid w:val="00AB0E56"/>
    <w:rsid w:val="00AB0ED5"/>
    <w:rsid w:val="00AB18AC"/>
    <w:rsid w:val="00AB1EB7"/>
    <w:rsid w:val="00AB29D6"/>
    <w:rsid w:val="00AB33AF"/>
    <w:rsid w:val="00AB3A15"/>
    <w:rsid w:val="00AB4ECC"/>
    <w:rsid w:val="00AB4F0F"/>
    <w:rsid w:val="00AB53E3"/>
    <w:rsid w:val="00AB57B1"/>
    <w:rsid w:val="00AB60E2"/>
    <w:rsid w:val="00AB6601"/>
    <w:rsid w:val="00AB674E"/>
    <w:rsid w:val="00AB6D79"/>
    <w:rsid w:val="00AB709E"/>
    <w:rsid w:val="00AB7434"/>
    <w:rsid w:val="00AB7806"/>
    <w:rsid w:val="00AB7FFC"/>
    <w:rsid w:val="00AC003E"/>
    <w:rsid w:val="00AC02C1"/>
    <w:rsid w:val="00AC08F0"/>
    <w:rsid w:val="00AC0A87"/>
    <w:rsid w:val="00AC0AB6"/>
    <w:rsid w:val="00AC10AD"/>
    <w:rsid w:val="00AC1E55"/>
    <w:rsid w:val="00AC3653"/>
    <w:rsid w:val="00AC3940"/>
    <w:rsid w:val="00AC3D06"/>
    <w:rsid w:val="00AC429F"/>
    <w:rsid w:val="00AC4441"/>
    <w:rsid w:val="00AC5ACA"/>
    <w:rsid w:val="00AC5C97"/>
    <w:rsid w:val="00AC60B4"/>
    <w:rsid w:val="00AC67B6"/>
    <w:rsid w:val="00AC74E1"/>
    <w:rsid w:val="00AC7516"/>
    <w:rsid w:val="00AC7D98"/>
    <w:rsid w:val="00AD00C5"/>
    <w:rsid w:val="00AD0320"/>
    <w:rsid w:val="00AD0BEA"/>
    <w:rsid w:val="00AD165F"/>
    <w:rsid w:val="00AD2794"/>
    <w:rsid w:val="00AD2DC5"/>
    <w:rsid w:val="00AD30EE"/>
    <w:rsid w:val="00AD3455"/>
    <w:rsid w:val="00AD3CAD"/>
    <w:rsid w:val="00AD42FD"/>
    <w:rsid w:val="00AD482F"/>
    <w:rsid w:val="00AD5905"/>
    <w:rsid w:val="00AD5A99"/>
    <w:rsid w:val="00AD69FF"/>
    <w:rsid w:val="00AD6D6D"/>
    <w:rsid w:val="00AD702B"/>
    <w:rsid w:val="00AD72E6"/>
    <w:rsid w:val="00AD75BB"/>
    <w:rsid w:val="00AD7C95"/>
    <w:rsid w:val="00AD7FCD"/>
    <w:rsid w:val="00AE045D"/>
    <w:rsid w:val="00AE089D"/>
    <w:rsid w:val="00AE18DF"/>
    <w:rsid w:val="00AE1D12"/>
    <w:rsid w:val="00AE2BED"/>
    <w:rsid w:val="00AE3DE1"/>
    <w:rsid w:val="00AE4D99"/>
    <w:rsid w:val="00AE5439"/>
    <w:rsid w:val="00AE5BEB"/>
    <w:rsid w:val="00AE61B2"/>
    <w:rsid w:val="00AE6A97"/>
    <w:rsid w:val="00AE78D1"/>
    <w:rsid w:val="00AE7F89"/>
    <w:rsid w:val="00AF1232"/>
    <w:rsid w:val="00AF1E69"/>
    <w:rsid w:val="00AF2815"/>
    <w:rsid w:val="00AF2D54"/>
    <w:rsid w:val="00AF3458"/>
    <w:rsid w:val="00AF3BD9"/>
    <w:rsid w:val="00AF3F7B"/>
    <w:rsid w:val="00AF42B4"/>
    <w:rsid w:val="00AF42DE"/>
    <w:rsid w:val="00AF4B80"/>
    <w:rsid w:val="00AF4B8A"/>
    <w:rsid w:val="00AF4F1B"/>
    <w:rsid w:val="00AF5EC6"/>
    <w:rsid w:val="00AF6507"/>
    <w:rsid w:val="00AF67E3"/>
    <w:rsid w:val="00AF6C38"/>
    <w:rsid w:val="00AF6E8A"/>
    <w:rsid w:val="00AF7213"/>
    <w:rsid w:val="00AF7771"/>
    <w:rsid w:val="00AF7D92"/>
    <w:rsid w:val="00AF7E08"/>
    <w:rsid w:val="00B01154"/>
    <w:rsid w:val="00B011CC"/>
    <w:rsid w:val="00B01FF8"/>
    <w:rsid w:val="00B024B5"/>
    <w:rsid w:val="00B02707"/>
    <w:rsid w:val="00B04048"/>
    <w:rsid w:val="00B04F3D"/>
    <w:rsid w:val="00B0560D"/>
    <w:rsid w:val="00B05702"/>
    <w:rsid w:val="00B061F0"/>
    <w:rsid w:val="00B06467"/>
    <w:rsid w:val="00B06DD9"/>
    <w:rsid w:val="00B078BD"/>
    <w:rsid w:val="00B07CD6"/>
    <w:rsid w:val="00B07E52"/>
    <w:rsid w:val="00B10010"/>
    <w:rsid w:val="00B1095B"/>
    <w:rsid w:val="00B10A43"/>
    <w:rsid w:val="00B112E8"/>
    <w:rsid w:val="00B11775"/>
    <w:rsid w:val="00B12F75"/>
    <w:rsid w:val="00B1302D"/>
    <w:rsid w:val="00B134FF"/>
    <w:rsid w:val="00B1513F"/>
    <w:rsid w:val="00B15B89"/>
    <w:rsid w:val="00B15C2D"/>
    <w:rsid w:val="00B1746F"/>
    <w:rsid w:val="00B20725"/>
    <w:rsid w:val="00B2087E"/>
    <w:rsid w:val="00B20B11"/>
    <w:rsid w:val="00B20B94"/>
    <w:rsid w:val="00B230E9"/>
    <w:rsid w:val="00B24553"/>
    <w:rsid w:val="00B248D0"/>
    <w:rsid w:val="00B25757"/>
    <w:rsid w:val="00B26209"/>
    <w:rsid w:val="00B2628E"/>
    <w:rsid w:val="00B265D0"/>
    <w:rsid w:val="00B266B0"/>
    <w:rsid w:val="00B2699A"/>
    <w:rsid w:val="00B26CA4"/>
    <w:rsid w:val="00B27921"/>
    <w:rsid w:val="00B27BCE"/>
    <w:rsid w:val="00B3000E"/>
    <w:rsid w:val="00B326A8"/>
    <w:rsid w:val="00B3291A"/>
    <w:rsid w:val="00B329CC"/>
    <w:rsid w:val="00B329EB"/>
    <w:rsid w:val="00B32FCD"/>
    <w:rsid w:val="00B33508"/>
    <w:rsid w:val="00B3377E"/>
    <w:rsid w:val="00B34E63"/>
    <w:rsid w:val="00B3567D"/>
    <w:rsid w:val="00B35DA4"/>
    <w:rsid w:val="00B3618B"/>
    <w:rsid w:val="00B3658E"/>
    <w:rsid w:val="00B36E17"/>
    <w:rsid w:val="00B406FC"/>
    <w:rsid w:val="00B40A96"/>
    <w:rsid w:val="00B40C15"/>
    <w:rsid w:val="00B40C60"/>
    <w:rsid w:val="00B4184B"/>
    <w:rsid w:val="00B4199D"/>
    <w:rsid w:val="00B422A7"/>
    <w:rsid w:val="00B424EB"/>
    <w:rsid w:val="00B42A32"/>
    <w:rsid w:val="00B42BF1"/>
    <w:rsid w:val="00B42FA6"/>
    <w:rsid w:val="00B4399E"/>
    <w:rsid w:val="00B43A16"/>
    <w:rsid w:val="00B43C38"/>
    <w:rsid w:val="00B45378"/>
    <w:rsid w:val="00B4539A"/>
    <w:rsid w:val="00B45CE1"/>
    <w:rsid w:val="00B46A75"/>
    <w:rsid w:val="00B46CD7"/>
    <w:rsid w:val="00B470A7"/>
    <w:rsid w:val="00B472D6"/>
    <w:rsid w:val="00B500CD"/>
    <w:rsid w:val="00B50857"/>
    <w:rsid w:val="00B5109D"/>
    <w:rsid w:val="00B51969"/>
    <w:rsid w:val="00B51EED"/>
    <w:rsid w:val="00B51F73"/>
    <w:rsid w:val="00B5239C"/>
    <w:rsid w:val="00B528AA"/>
    <w:rsid w:val="00B53259"/>
    <w:rsid w:val="00B53893"/>
    <w:rsid w:val="00B548C2"/>
    <w:rsid w:val="00B54B6A"/>
    <w:rsid w:val="00B550E2"/>
    <w:rsid w:val="00B55428"/>
    <w:rsid w:val="00B55573"/>
    <w:rsid w:val="00B561B7"/>
    <w:rsid w:val="00B5709E"/>
    <w:rsid w:val="00B570BF"/>
    <w:rsid w:val="00B57B9C"/>
    <w:rsid w:val="00B60471"/>
    <w:rsid w:val="00B60B8F"/>
    <w:rsid w:val="00B6121E"/>
    <w:rsid w:val="00B619C6"/>
    <w:rsid w:val="00B61AD5"/>
    <w:rsid w:val="00B61AFE"/>
    <w:rsid w:val="00B625CC"/>
    <w:rsid w:val="00B63337"/>
    <w:rsid w:val="00B6367E"/>
    <w:rsid w:val="00B6369F"/>
    <w:rsid w:val="00B63713"/>
    <w:rsid w:val="00B63749"/>
    <w:rsid w:val="00B639D7"/>
    <w:rsid w:val="00B64AA7"/>
    <w:rsid w:val="00B65003"/>
    <w:rsid w:val="00B65265"/>
    <w:rsid w:val="00B652E5"/>
    <w:rsid w:val="00B65452"/>
    <w:rsid w:val="00B66594"/>
    <w:rsid w:val="00B67625"/>
    <w:rsid w:val="00B67805"/>
    <w:rsid w:val="00B701FE"/>
    <w:rsid w:val="00B70AC5"/>
    <w:rsid w:val="00B70C2F"/>
    <w:rsid w:val="00B721CD"/>
    <w:rsid w:val="00B7267A"/>
    <w:rsid w:val="00B726FF"/>
    <w:rsid w:val="00B72A5B"/>
    <w:rsid w:val="00B72AA4"/>
    <w:rsid w:val="00B75454"/>
    <w:rsid w:val="00B759A1"/>
    <w:rsid w:val="00B76004"/>
    <w:rsid w:val="00B76BCD"/>
    <w:rsid w:val="00B76EE9"/>
    <w:rsid w:val="00B77231"/>
    <w:rsid w:val="00B77880"/>
    <w:rsid w:val="00B77B84"/>
    <w:rsid w:val="00B80D90"/>
    <w:rsid w:val="00B820EA"/>
    <w:rsid w:val="00B82613"/>
    <w:rsid w:val="00B828B5"/>
    <w:rsid w:val="00B82AAD"/>
    <w:rsid w:val="00B82ED8"/>
    <w:rsid w:val="00B83E1B"/>
    <w:rsid w:val="00B84105"/>
    <w:rsid w:val="00B845D0"/>
    <w:rsid w:val="00B84A80"/>
    <w:rsid w:val="00B84E9C"/>
    <w:rsid w:val="00B85522"/>
    <w:rsid w:val="00B8696C"/>
    <w:rsid w:val="00B86C7A"/>
    <w:rsid w:val="00B86DF5"/>
    <w:rsid w:val="00B90BCD"/>
    <w:rsid w:val="00B90E2A"/>
    <w:rsid w:val="00B90F2A"/>
    <w:rsid w:val="00B9121F"/>
    <w:rsid w:val="00B9198D"/>
    <w:rsid w:val="00B92292"/>
    <w:rsid w:val="00B92D25"/>
    <w:rsid w:val="00B93008"/>
    <w:rsid w:val="00B9378C"/>
    <w:rsid w:val="00B93D72"/>
    <w:rsid w:val="00B9406D"/>
    <w:rsid w:val="00B9423C"/>
    <w:rsid w:val="00B94BA7"/>
    <w:rsid w:val="00B94E0E"/>
    <w:rsid w:val="00B96413"/>
    <w:rsid w:val="00B965BF"/>
    <w:rsid w:val="00B97B12"/>
    <w:rsid w:val="00B97CA3"/>
    <w:rsid w:val="00BA0918"/>
    <w:rsid w:val="00BA095A"/>
    <w:rsid w:val="00BA1104"/>
    <w:rsid w:val="00BA1826"/>
    <w:rsid w:val="00BA1872"/>
    <w:rsid w:val="00BA1913"/>
    <w:rsid w:val="00BA1D9A"/>
    <w:rsid w:val="00BA29E6"/>
    <w:rsid w:val="00BA2BC9"/>
    <w:rsid w:val="00BA4641"/>
    <w:rsid w:val="00BA4A54"/>
    <w:rsid w:val="00BA51AE"/>
    <w:rsid w:val="00BA5A2C"/>
    <w:rsid w:val="00BA7205"/>
    <w:rsid w:val="00BA76A9"/>
    <w:rsid w:val="00BA7C4E"/>
    <w:rsid w:val="00BB0595"/>
    <w:rsid w:val="00BB21DE"/>
    <w:rsid w:val="00BB2F36"/>
    <w:rsid w:val="00BB3E2B"/>
    <w:rsid w:val="00BB4C0D"/>
    <w:rsid w:val="00BB57C0"/>
    <w:rsid w:val="00BB5D1C"/>
    <w:rsid w:val="00BB6552"/>
    <w:rsid w:val="00BB65E0"/>
    <w:rsid w:val="00BB6B9B"/>
    <w:rsid w:val="00BB754F"/>
    <w:rsid w:val="00BC0058"/>
    <w:rsid w:val="00BC03A1"/>
    <w:rsid w:val="00BC07D4"/>
    <w:rsid w:val="00BC0A5D"/>
    <w:rsid w:val="00BC0BE3"/>
    <w:rsid w:val="00BC0C18"/>
    <w:rsid w:val="00BC0D57"/>
    <w:rsid w:val="00BC1AB8"/>
    <w:rsid w:val="00BC1AD9"/>
    <w:rsid w:val="00BC1B04"/>
    <w:rsid w:val="00BC20A8"/>
    <w:rsid w:val="00BC312B"/>
    <w:rsid w:val="00BC3257"/>
    <w:rsid w:val="00BC32E7"/>
    <w:rsid w:val="00BC4F81"/>
    <w:rsid w:val="00BC510E"/>
    <w:rsid w:val="00BC5639"/>
    <w:rsid w:val="00BC5670"/>
    <w:rsid w:val="00BC58B9"/>
    <w:rsid w:val="00BC63C0"/>
    <w:rsid w:val="00BD033D"/>
    <w:rsid w:val="00BD133C"/>
    <w:rsid w:val="00BD2F13"/>
    <w:rsid w:val="00BD3056"/>
    <w:rsid w:val="00BD3846"/>
    <w:rsid w:val="00BD3CA8"/>
    <w:rsid w:val="00BD3E68"/>
    <w:rsid w:val="00BD412B"/>
    <w:rsid w:val="00BD4E05"/>
    <w:rsid w:val="00BD598A"/>
    <w:rsid w:val="00BD5C7A"/>
    <w:rsid w:val="00BD5D04"/>
    <w:rsid w:val="00BD62E6"/>
    <w:rsid w:val="00BD723F"/>
    <w:rsid w:val="00BD75B4"/>
    <w:rsid w:val="00BD79ED"/>
    <w:rsid w:val="00BD7D14"/>
    <w:rsid w:val="00BE02B4"/>
    <w:rsid w:val="00BE02D5"/>
    <w:rsid w:val="00BE0330"/>
    <w:rsid w:val="00BE1642"/>
    <w:rsid w:val="00BE1D9F"/>
    <w:rsid w:val="00BE1DB8"/>
    <w:rsid w:val="00BE2866"/>
    <w:rsid w:val="00BE28C1"/>
    <w:rsid w:val="00BE3492"/>
    <w:rsid w:val="00BE3B62"/>
    <w:rsid w:val="00BE4BEB"/>
    <w:rsid w:val="00BE4EC9"/>
    <w:rsid w:val="00BE511F"/>
    <w:rsid w:val="00BE60BC"/>
    <w:rsid w:val="00BE631E"/>
    <w:rsid w:val="00BE6867"/>
    <w:rsid w:val="00BE6BEC"/>
    <w:rsid w:val="00BE7501"/>
    <w:rsid w:val="00BE7849"/>
    <w:rsid w:val="00BE7E7A"/>
    <w:rsid w:val="00BF02CE"/>
    <w:rsid w:val="00BF05B7"/>
    <w:rsid w:val="00BF0CCF"/>
    <w:rsid w:val="00BF0D04"/>
    <w:rsid w:val="00BF0DFC"/>
    <w:rsid w:val="00BF0FAB"/>
    <w:rsid w:val="00BF0FC5"/>
    <w:rsid w:val="00BF10BC"/>
    <w:rsid w:val="00BF21AC"/>
    <w:rsid w:val="00BF2964"/>
    <w:rsid w:val="00BF2A32"/>
    <w:rsid w:val="00BF2E53"/>
    <w:rsid w:val="00BF352A"/>
    <w:rsid w:val="00BF3669"/>
    <w:rsid w:val="00BF3C0D"/>
    <w:rsid w:val="00BF40D4"/>
    <w:rsid w:val="00BF49F0"/>
    <w:rsid w:val="00BF4BC7"/>
    <w:rsid w:val="00BF6252"/>
    <w:rsid w:val="00BF6BF1"/>
    <w:rsid w:val="00BF6D13"/>
    <w:rsid w:val="00BF711C"/>
    <w:rsid w:val="00BF748E"/>
    <w:rsid w:val="00BF789B"/>
    <w:rsid w:val="00C00744"/>
    <w:rsid w:val="00C00D03"/>
    <w:rsid w:val="00C01B50"/>
    <w:rsid w:val="00C02165"/>
    <w:rsid w:val="00C026D2"/>
    <w:rsid w:val="00C03309"/>
    <w:rsid w:val="00C037E0"/>
    <w:rsid w:val="00C0407C"/>
    <w:rsid w:val="00C05D80"/>
    <w:rsid w:val="00C072FE"/>
    <w:rsid w:val="00C10487"/>
    <w:rsid w:val="00C11816"/>
    <w:rsid w:val="00C11A88"/>
    <w:rsid w:val="00C11ADE"/>
    <w:rsid w:val="00C11EDB"/>
    <w:rsid w:val="00C126E0"/>
    <w:rsid w:val="00C128BC"/>
    <w:rsid w:val="00C12E39"/>
    <w:rsid w:val="00C13531"/>
    <w:rsid w:val="00C13D47"/>
    <w:rsid w:val="00C13F80"/>
    <w:rsid w:val="00C14164"/>
    <w:rsid w:val="00C14C53"/>
    <w:rsid w:val="00C1538A"/>
    <w:rsid w:val="00C15636"/>
    <w:rsid w:val="00C1596E"/>
    <w:rsid w:val="00C15D8E"/>
    <w:rsid w:val="00C17012"/>
    <w:rsid w:val="00C178FB"/>
    <w:rsid w:val="00C17DF9"/>
    <w:rsid w:val="00C201EB"/>
    <w:rsid w:val="00C205ED"/>
    <w:rsid w:val="00C20ACC"/>
    <w:rsid w:val="00C20D4F"/>
    <w:rsid w:val="00C21A75"/>
    <w:rsid w:val="00C21C20"/>
    <w:rsid w:val="00C22B28"/>
    <w:rsid w:val="00C23B78"/>
    <w:rsid w:val="00C257B7"/>
    <w:rsid w:val="00C258D8"/>
    <w:rsid w:val="00C25D0F"/>
    <w:rsid w:val="00C26D69"/>
    <w:rsid w:val="00C272E8"/>
    <w:rsid w:val="00C3017A"/>
    <w:rsid w:val="00C301A9"/>
    <w:rsid w:val="00C30AAC"/>
    <w:rsid w:val="00C30ABC"/>
    <w:rsid w:val="00C30B60"/>
    <w:rsid w:val="00C312F5"/>
    <w:rsid w:val="00C31338"/>
    <w:rsid w:val="00C313A3"/>
    <w:rsid w:val="00C31932"/>
    <w:rsid w:val="00C31CB6"/>
    <w:rsid w:val="00C31FAA"/>
    <w:rsid w:val="00C32DE6"/>
    <w:rsid w:val="00C33359"/>
    <w:rsid w:val="00C334BF"/>
    <w:rsid w:val="00C33B46"/>
    <w:rsid w:val="00C34529"/>
    <w:rsid w:val="00C348D6"/>
    <w:rsid w:val="00C34B04"/>
    <w:rsid w:val="00C3504C"/>
    <w:rsid w:val="00C351D9"/>
    <w:rsid w:val="00C35F76"/>
    <w:rsid w:val="00C365E7"/>
    <w:rsid w:val="00C3698E"/>
    <w:rsid w:val="00C36E34"/>
    <w:rsid w:val="00C40388"/>
    <w:rsid w:val="00C404D7"/>
    <w:rsid w:val="00C404EE"/>
    <w:rsid w:val="00C4171B"/>
    <w:rsid w:val="00C41C12"/>
    <w:rsid w:val="00C42689"/>
    <w:rsid w:val="00C42988"/>
    <w:rsid w:val="00C42BD4"/>
    <w:rsid w:val="00C4312A"/>
    <w:rsid w:val="00C43FF0"/>
    <w:rsid w:val="00C44124"/>
    <w:rsid w:val="00C44641"/>
    <w:rsid w:val="00C454D8"/>
    <w:rsid w:val="00C459BF"/>
    <w:rsid w:val="00C45BF1"/>
    <w:rsid w:val="00C45EF5"/>
    <w:rsid w:val="00C46B7E"/>
    <w:rsid w:val="00C46EB6"/>
    <w:rsid w:val="00C470D2"/>
    <w:rsid w:val="00C474D6"/>
    <w:rsid w:val="00C47538"/>
    <w:rsid w:val="00C5099B"/>
    <w:rsid w:val="00C50A4E"/>
    <w:rsid w:val="00C50B94"/>
    <w:rsid w:val="00C51396"/>
    <w:rsid w:val="00C51C37"/>
    <w:rsid w:val="00C520B1"/>
    <w:rsid w:val="00C521D8"/>
    <w:rsid w:val="00C522D6"/>
    <w:rsid w:val="00C52C52"/>
    <w:rsid w:val="00C536A6"/>
    <w:rsid w:val="00C53858"/>
    <w:rsid w:val="00C54020"/>
    <w:rsid w:val="00C5406F"/>
    <w:rsid w:val="00C543AA"/>
    <w:rsid w:val="00C545C5"/>
    <w:rsid w:val="00C54817"/>
    <w:rsid w:val="00C54F35"/>
    <w:rsid w:val="00C54F7F"/>
    <w:rsid w:val="00C55566"/>
    <w:rsid w:val="00C55983"/>
    <w:rsid w:val="00C57A01"/>
    <w:rsid w:val="00C57A2D"/>
    <w:rsid w:val="00C6094C"/>
    <w:rsid w:val="00C60B07"/>
    <w:rsid w:val="00C612AE"/>
    <w:rsid w:val="00C61C25"/>
    <w:rsid w:val="00C61D4B"/>
    <w:rsid w:val="00C62B0A"/>
    <w:rsid w:val="00C63C52"/>
    <w:rsid w:val="00C63F08"/>
    <w:rsid w:val="00C64952"/>
    <w:rsid w:val="00C64F6D"/>
    <w:rsid w:val="00C6510B"/>
    <w:rsid w:val="00C6528C"/>
    <w:rsid w:val="00C661E8"/>
    <w:rsid w:val="00C67399"/>
    <w:rsid w:val="00C679F0"/>
    <w:rsid w:val="00C70084"/>
    <w:rsid w:val="00C7090B"/>
    <w:rsid w:val="00C70ACE"/>
    <w:rsid w:val="00C70F45"/>
    <w:rsid w:val="00C721F9"/>
    <w:rsid w:val="00C7235B"/>
    <w:rsid w:val="00C72E18"/>
    <w:rsid w:val="00C731AD"/>
    <w:rsid w:val="00C7380B"/>
    <w:rsid w:val="00C73B6A"/>
    <w:rsid w:val="00C74421"/>
    <w:rsid w:val="00C75056"/>
    <w:rsid w:val="00C75F2F"/>
    <w:rsid w:val="00C75FEE"/>
    <w:rsid w:val="00C76F1D"/>
    <w:rsid w:val="00C76FD1"/>
    <w:rsid w:val="00C7760B"/>
    <w:rsid w:val="00C77937"/>
    <w:rsid w:val="00C77CA4"/>
    <w:rsid w:val="00C77D26"/>
    <w:rsid w:val="00C804F2"/>
    <w:rsid w:val="00C80B68"/>
    <w:rsid w:val="00C80BDF"/>
    <w:rsid w:val="00C815DF"/>
    <w:rsid w:val="00C81819"/>
    <w:rsid w:val="00C822AB"/>
    <w:rsid w:val="00C82FEE"/>
    <w:rsid w:val="00C8413C"/>
    <w:rsid w:val="00C84A47"/>
    <w:rsid w:val="00C84D39"/>
    <w:rsid w:val="00C85277"/>
    <w:rsid w:val="00C855A3"/>
    <w:rsid w:val="00C85806"/>
    <w:rsid w:val="00C85D76"/>
    <w:rsid w:val="00C860C2"/>
    <w:rsid w:val="00C873AC"/>
    <w:rsid w:val="00C87504"/>
    <w:rsid w:val="00C87DA6"/>
    <w:rsid w:val="00C87EFE"/>
    <w:rsid w:val="00C900AF"/>
    <w:rsid w:val="00C9075B"/>
    <w:rsid w:val="00C917B3"/>
    <w:rsid w:val="00C91857"/>
    <w:rsid w:val="00C9213B"/>
    <w:rsid w:val="00C93462"/>
    <w:rsid w:val="00C93D21"/>
    <w:rsid w:val="00C942A6"/>
    <w:rsid w:val="00C94384"/>
    <w:rsid w:val="00C94A34"/>
    <w:rsid w:val="00C94C2B"/>
    <w:rsid w:val="00C94F73"/>
    <w:rsid w:val="00C95609"/>
    <w:rsid w:val="00C95BB4"/>
    <w:rsid w:val="00C96F79"/>
    <w:rsid w:val="00C970B0"/>
    <w:rsid w:val="00C9738E"/>
    <w:rsid w:val="00C97CF9"/>
    <w:rsid w:val="00CA0BF8"/>
    <w:rsid w:val="00CA17DD"/>
    <w:rsid w:val="00CA1863"/>
    <w:rsid w:val="00CA1941"/>
    <w:rsid w:val="00CA26CE"/>
    <w:rsid w:val="00CA29C0"/>
    <w:rsid w:val="00CA3225"/>
    <w:rsid w:val="00CA391D"/>
    <w:rsid w:val="00CA3ACD"/>
    <w:rsid w:val="00CA3F6F"/>
    <w:rsid w:val="00CA40F0"/>
    <w:rsid w:val="00CA42B0"/>
    <w:rsid w:val="00CA4839"/>
    <w:rsid w:val="00CA4B8B"/>
    <w:rsid w:val="00CA4F8B"/>
    <w:rsid w:val="00CA5445"/>
    <w:rsid w:val="00CA5494"/>
    <w:rsid w:val="00CA620D"/>
    <w:rsid w:val="00CA77B9"/>
    <w:rsid w:val="00CA7829"/>
    <w:rsid w:val="00CA7AFC"/>
    <w:rsid w:val="00CA7D73"/>
    <w:rsid w:val="00CB0007"/>
    <w:rsid w:val="00CB04E8"/>
    <w:rsid w:val="00CB09DA"/>
    <w:rsid w:val="00CB0BD9"/>
    <w:rsid w:val="00CB172C"/>
    <w:rsid w:val="00CB1CAC"/>
    <w:rsid w:val="00CB1DE8"/>
    <w:rsid w:val="00CB1E3B"/>
    <w:rsid w:val="00CB1F1D"/>
    <w:rsid w:val="00CB2ADA"/>
    <w:rsid w:val="00CB3FD8"/>
    <w:rsid w:val="00CB4F07"/>
    <w:rsid w:val="00CB54F2"/>
    <w:rsid w:val="00CB550A"/>
    <w:rsid w:val="00CB6795"/>
    <w:rsid w:val="00CB68D1"/>
    <w:rsid w:val="00CB713D"/>
    <w:rsid w:val="00CB71F8"/>
    <w:rsid w:val="00CC03CF"/>
    <w:rsid w:val="00CC180A"/>
    <w:rsid w:val="00CC26DB"/>
    <w:rsid w:val="00CC300C"/>
    <w:rsid w:val="00CC35AE"/>
    <w:rsid w:val="00CC3DAA"/>
    <w:rsid w:val="00CC3DF6"/>
    <w:rsid w:val="00CC4C2C"/>
    <w:rsid w:val="00CC5057"/>
    <w:rsid w:val="00CC54C2"/>
    <w:rsid w:val="00CC60E9"/>
    <w:rsid w:val="00CC6B03"/>
    <w:rsid w:val="00CC772E"/>
    <w:rsid w:val="00CD078F"/>
    <w:rsid w:val="00CD121E"/>
    <w:rsid w:val="00CD185D"/>
    <w:rsid w:val="00CD190C"/>
    <w:rsid w:val="00CD2389"/>
    <w:rsid w:val="00CD28F0"/>
    <w:rsid w:val="00CD33DE"/>
    <w:rsid w:val="00CD3ED8"/>
    <w:rsid w:val="00CD497A"/>
    <w:rsid w:val="00CD4B33"/>
    <w:rsid w:val="00CD52CC"/>
    <w:rsid w:val="00CD583C"/>
    <w:rsid w:val="00CD6EA6"/>
    <w:rsid w:val="00CD7154"/>
    <w:rsid w:val="00CD761D"/>
    <w:rsid w:val="00CD76B5"/>
    <w:rsid w:val="00CD78B9"/>
    <w:rsid w:val="00CD78E7"/>
    <w:rsid w:val="00CE1D01"/>
    <w:rsid w:val="00CE2323"/>
    <w:rsid w:val="00CE2346"/>
    <w:rsid w:val="00CE33F0"/>
    <w:rsid w:val="00CE37C4"/>
    <w:rsid w:val="00CE4DB2"/>
    <w:rsid w:val="00CE6F0F"/>
    <w:rsid w:val="00CE73E1"/>
    <w:rsid w:val="00CF002F"/>
    <w:rsid w:val="00CF0246"/>
    <w:rsid w:val="00CF1063"/>
    <w:rsid w:val="00CF2483"/>
    <w:rsid w:val="00CF24E2"/>
    <w:rsid w:val="00CF393D"/>
    <w:rsid w:val="00CF3F45"/>
    <w:rsid w:val="00CF4ABD"/>
    <w:rsid w:val="00CF4CF2"/>
    <w:rsid w:val="00CF5442"/>
    <w:rsid w:val="00CF5A53"/>
    <w:rsid w:val="00CF5B08"/>
    <w:rsid w:val="00CF5D28"/>
    <w:rsid w:val="00CF6799"/>
    <w:rsid w:val="00CF68B8"/>
    <w:rsid w:val="00CF6EAD"/>
    <w:rsid w:val="00CF6F1E"/>
    <w:rsid w:val="00CF7DEE"/>
    <w:rsid w:val="00CF7E2E"/>
    <w:rsid w:val="00D000F0"/>
    <w:rsid w:val="00D001F9"/>
    <w:rsid w:val="00D0036E"/>
    <w:rsid w:val="00D00BB7"/>
    <w:rsid w:val="00D01EAD"/>
    <w:rsid w:val="00D01EDF"/>
    <w:rsid w:val="00D02CC3"/>
    <w:rsid w:val="00D0323C"/>
    <w:rsid w:val="00D032E6"/>
    <w:rsid w:val="00D033EC"/>
    <w:rsid w:val="00D035B9"/>
    <w:rsid w:val="00D0366A"/>
    <w:rsid w:val="00D038CB"/>
    <w:rsid w:val="00D03A31"/>
    <w:rsid w:val="00D03D12"/>
    <w:rsid w:val="00D040B7"/>
    <w:rsid w:val="00D04541"/>
    <w:rsid w:val="00D050FB"/>
    <w:rsid w:val="00D05F39"/>
    <w:rsid w:val="00D060FF"/>
    <w:rsid w:val="00D064E8"/>
    <w:rsid w:val="00D06546"/>
    <w:rsid w:val="00D06572"/>
    <w:rsid w:val="00D065CD"/>
    <w:rsid w:val="00D0724B"/>
    <w:rsid w:val="00D10AA7"/>
    <w:rsid w:val="00D12325"/>
    <w:rsid w:val="00D12761"/>
    <w:rsid w:val="00D13530"/>
    <w:rsid w:val="00D13C42"/>
    <w:rsid w:val="00D14487"/>
    <w:rsid w:val="00D14590"/>
    <w:rsid w:val="00D145E2"/>
    <w:rsid w:val="00D14D11"/>
    <w:rsid w:val="00D156A8"/>
    <w:rsid w:val="00D15E7E"/>
    <w:rsid w:val="00D15F58"/>
    <w:rsid w:val="00D16058"/>
    <w:rsid w:val="00D16FDD"/>
    <w:rsid w:val="00D17B3E"/>
    <w:rsid w:val="00D20016"/>
    <w:rsid w:val="00D207A7"/>
    <w:rsid w:val="00D2101C"/>
    <w:rsid w:val="00D226DB"/>
    <w:rsid w:val="00D2279F"/>
    <w:rsid w:val="00D22AF1"/>
    <w:rsid w:val="00D22E93"/>
    <w:rsid w:val="00D22E9F"/>
    <w:rsid w:val="00D22EF7"/>
    <w:rsid w:val="00D242DA"/>
    <w:rsid w:val="00D247EC"/>
    <w:rsid w:val="00D25873"/>
    <w:rsid w:val="00D25E0A"/>
    <w:rsid w:val="00D26448"/>
    <w:rsid w:val="00D264CE"/>
    <w:rsid w:val="00D26670"/>
    <w:rsid w:val="00D2670E"/>
    <w:rsid w:val="00D26910"/>
    <w:rsid w:val="00D26D95"/>
    <w:rsid w:val="00D27B8B"/>
    <w:rsid w:val="00D30A1F"/>
    <w:rsid w:val="00D30BD2"/>
    <w:rsid w:val="00D30CF0"/>
    <w:rsid w:val="00D3116A"/>
    <w:rsid w:val="00D31681"/>
    <w:rsid w:val="00D3191C"/>
    <w:rsid w:val="00D31B6E"/>
    <w:rsid w:val="00D3232B"/>
    <w:rsid w:val="00D3239F"/>
    <w:rsid w:val="00D324A4"/>
    <w:rsid w:val="00D3250C"/>
    <w:rsid w:val="00D328F6"/>
    <w:rsid w:val="00D32E53"/>
    <w:rsid w:val="00D33204"/>
    <w:rsid w:val="00D340AE"/>
    <w:rsid w:val="00D345D4"/>
    <w:rsid w:val="00D3462C"/>
    <w:rsid w:val="00D34DEB"/>
    <w:rsid w:val="00D35198"/>
    <w:rsid w:val="00D3584B"/>
    <w:rsid w:val="00D35A85"/>
    <w:rsid w:val="00D35F97"/>
    <w:rsid w:val="00D36964"/>
    <w:rsid w:val="00D3698D"/>
    <w:rsid w:val="00D36B9B"/>
    <w:rsid w:val="00D36D97"/>
    <w:rsid w:val="00D371C5"/>
    <w:rsid w:val="00D37A1A"/>
    <w:rsid w:val="00D37D7E"/>
    <w:rsid w:val="00D401ED"/>
    <w:rsid w:val="00D4081B"/>
    <w:rsid w:val="00D40925"/>
    <w:rsid w:val="00D40E1A"/>
    <w:rsid w:val="00D40F95"/>
    <w:rsid w:val="00D413C3"/>
    <w:rsid w:val="00D418CD"/>
    <w:rsid w:val="00D42240"/>
    <w:rsid w:val="00D422BF"/>
    <w:rsid w:val="00D42438"/>
    <w:rsid w:val="00D427C3"/>
    <w:rsid w:val="00D42EB8"/>
    <w:rsid w:val="00D43142"/>
    <w:rsid w:val="00D43D3C"/>
    <w:rsid w:val="00D43E0B"/>
    <w:rsid w:val="00D441E2"/>
    <w:rsid w:val="00D443B9"/>
    <w:rsid w:val="00D44482"/>
    <w:rsid w:val="00D44932"/>
    <w:rsid w:val="00D4582B"/>
    <w:rsid w:val="00D46111"/>
    <w:rsid w:val="00D46575"/>
    <w:rsid w:val="00D4662F"/>
    <w:rsid w:val="00D46F1B"/>
    <w:rsid w:val="00D475FB"/>
    <w:rsid w:val="00D47BC7"/>
    <w:rsid w:val="00D47C16"/>
    <w:rsid w:val="00D502AF"/>
    <w:rsid w:val="00D504E4"/>
    <w:rsid w:val="00D50546"/>
    <w:rsid w:val="00D50764"/>
    <w:rsid w:val="00D50C12"/>
    <w:rsid w:val="00D51034"/>
    <w:rsid w:val="00D51298"/>
    <w:rsid w:val="00D514A9"/>
    <w:rsid w:val="00D51A6C"/>
    <w:rsid w:val="00D51A77"/>
    <w:rsid w:val="00D51F14"/>
    <w:rsid w:val="00D5267B"/>
    <w:rsid w:val="00D53418"/>
    <w:rsid w:val="00D53649"/>
    <w:rsid w:val="00D53830"/>
    <w:rsid w:val="00D53C10"/>
    <w:rsid w:val="00D53D8F"/>
    <w:rsid w:val="00D54FB3"/>
    <w:rsid w:val="00D5518D"/>
    <w:rsid w:val="00D55740"/>
    <w:rsid w:val="00D55889"/>
    <w:rsid w:val="00D56B5F"/>
    <w:rsid w:val="00D5703D"/>
    <w:rsid w:val="00D57A3F"/>
    <w:rsid w:val="00D57AF0"/>
    <w:rsid w:val="00D57B6B"/>
    <w:rsid w:val="00D61815"/>
    <w:rsid w:val="00D627E3"/>
    <w:rsid w:val="00D62ECD"/>
    <w:rsid w:val="00D64426"/>
    <w:rsid w:val="00D64475"/>
    <w:rsid w:val="00D646A6"/>
    <w:rsid w:val="00D64998"/>
    <w:rsid w:val="00D64A2A"/>
    <w:rsid w:val="00D65D78"/>
    <w:rsid w:val="00D661B6"/>
    <w:rsid w:val="00D6676D"/>
    <w:rsid w:val="00D66AAA"/>
    <w:rsid w:val="00D66B04"/>
    <w:rsid w:val="00D67BC5"/>
    <w:rsid w:val="00D7021B"/>
    <w:rsid w:val="00D70880"/>
    <w:rsid w:val="00D70D33"/>
    <w:rsid w:val="00D71513"/>
    <w:rsid w:val="00D71862"/>
    <w:rsid w:val="00D71A5A"/>
    <w:rsid w:val="00D71D5F"/>
    <w:rsid w:val="00D71E7F"/>
    <w:rsid w:val="00D71FBA"/>
    <w:rsid w:val="00D7239B"/>
    <w:rsid w:val="00D7245B"/>
    <w:rsid w:val="00D729B3"/>
    <w:rsid w:val="00D73077"/>
    <w:rsid w:val="00D736A2"/>
    <w:rsid w:val="00D73B34"/>
    <w:rsid w:val="00D73C57"/>
    <w:rsid w:val="00D742FF"/>
    <w:rsid w:val="00D747E8"/>
    <w:rsid w:val="00D756B6"/>
    <w:rsid w:val="00D758B3"/>
    <w:rsid w:val="00D760CA"/>
    <w:rsid w:val="00D7632E"/>
    <w:rsid w:val="00D7667C"/>
    <w:rsid w:val="00D76ADC"/>
    <w:rsid w:val="00D77413"/>
    <w:rsid w:val="00D77529"/>
    <w:rsid w:val="00D778B4"/>
    <w:rsid w:val="00D77BE2"/>
    <w:rsid w:val="00D80978"/>
    <w:rsid w:val="00D80B04"/>
    <w:rsid w:val="00D81BEF"/>
    <w:rsid w:val="00D81F10"/>
    <w:rsid w:val="00D82798"/>
    <w:rsid w:val="00D82BF2"/>
    <w:rsid w:val="00D82F75"/>
    <w:rsid w:val="00D84A57"/>
    <w:rsid w:val="00D85114"/>
    <w:rsid w:val="00D86AB4"/>
    <w:rsid w:val="00D87307"/>
    <w:rsid w:val="00D874DF"/>
    <w:rsid w:val="00D87A12"/>
    <w:rsid w:val="00D904FF"/>
    <w:rsid w:val="00D90E30"/>
    <w:rsid w:val="00D915AF"/>
    <w:rsid w:val="00D92195"/>
    <w:rsid w:val="00D92B69"/>
    <w:rsid w:val="00D930E1"/>
    <w:rsid w:val="00D9354D"/>
    <w:rsid w:val="00D93BDB"/>
    <w:rsid w:val="00D93E61"/>
    <w:rsid w:val="00D9415C"/>
    <w:rsid w:val="00D942CC"/>
    <w:rsid w:val="00D944E4"/>
    <w:rsid w:val="00D94D87"/>
    <w:rsid w:val="00D952FD"/>
    <w:rsid w:val="00D95B31"/>
    <w:rsid w:val="00D95DCC"/>
    <w:rsid w:val="00D962DC"/>
    <w:rsid w:val="00D979E9"/>
    <w:rsid w:val="00DA094B"/>
    <w:rsid w:val="00DA11B4"/>
    <w:rsid w:val="00DA180C"/>
    <w:rsid w:val="00DA18A2"/>
    <w:rsid w:val="00DA2682"/>
    <w:rsid w:val="00DA2A4A"/>
    <w:rsid w:val="00DA3E7B"/>
    <w:rsid w:val="00DA3F17"/>
    <w:rsid w:val="00DA418E"/>
    <w:rsid w:val="00DA4419"/>
    <w:rsid w:val="00DA451D"/>
    <w:rsid w:val="00DA470D"/>
    <w:rsid w:val="00DA4A78"/>
    <w:rsid w:val="00DA4CC5"/>
    <w:rsid w:val="00DA4D64"/>
    <w:rsid w:val="00DA56DB"/>
    <w:rsid w:val="00DA6008"/>
    <w:rsid w:val="00DA63D0"/>
    <w:rsid w:val="00DA6452"/>
    <w:rsid w:val="00DA6FE9"/>
    <w:rsid w:val="00DA7925"/>
    <w:rsid w:val="00DB031E"/>
    <w:rsid w:val="00DB040B"/>
    <w:rsid w:val="00DB0AB8"/>
    <w:rsid w:val="00DB0D2A"/>
    <w:rsid w:val="00DB11CD"/>
    <w:rsid w:val="00DB1DAB"/>
    <w:rsid w:val="00DB33E7"/>
    <w:rsid w:val="00DB364F"/>
    <w:rsid w:val="00DB3893"/>
    <w:rsid w:val="00DB39D4"/>
    <w:rsid w:val="00DB3A47"/>
    <w:rsid w:val="00DB46D0"/>
    <w:rsid w:val="00DB46DF"/>
    <w:rsid w:val="00DB49B6"/>
    <w:rsid w:val="00DB4E06"/>
    <w:rsid w:val="00DB50BA"/>
    <w:rsid w:val="00DB6224"/>
    <w:rsid w:val="00DB6360"/>
    <w:rsid w:val="00DB698D"/>
    <w:rsid w:val="00DB6A80"/>
    <w:rsid w:val="00DB6C06"/>
    <w:rsid w:val="00DB7B06"/>
    <w:rsid w:val="00DC043D"/>
    <w:rsid w:val="00DC04AF"/>
    <w:rsid w:val="00DC053A"/>
    <w:rsid w:val="00DC0F0C"/>
    <w:rsid w:val="00DC318A"/>
    <w:rsid w:val="00DC36A3"/>
    <w:rsid w:val="00DC3A9D"/>
    <w:rsid w:val="00DC4004"/>
    <w:rsid w:val="00DC4243"/>
    <w:rsid w:val="00DC5103"/>
    <w:rsid w:val="00DC5584"/>
    <w:rsid w:val="00DC591F"/>
    <w:rsid w:val="00DC5BDA"/>
    <w:rsid w:val="00DC65B2"/>
    <w:rsid w:val="00DC6874"/>
    <w:rsid w:val="00DC68E7"/>
    <w:rsid w:val="00DC6C1E"/>
    <w:rsid w:val="00DC7255"/>
    <w:rsid w:val="00DC72CE"/>
    <w:rsid w:val="00DC7951"/>
    <w:rsid w:val="00DD064F"/>
    <w:rsid w:val="00DD08A0"/>
    <w:rsid w:val="00DD0CBF"/>
    <w:rsid w:val="00DD1425"/>
    <w:rsid w:val="00DD16C4"/>
    <w:rsid w:val="00DD1C4B"/>
    <w:rsid w:val="00DD1F7B"/>
    <w:rsid w:val="00DD229E"/>
    <w:rsid w:val="00DD29FF"/>
    <w:rsid w:val="00DD2FCD"/>
    <w:rsid w:val="00DD3029"/>
    <w:rsid w:val="00DD4572"/>
    <w:rsid w:val="00DD4C26"/>
    <w:rsid w:val="00DD5389"/>
    <w:rsid w:val="00DD5421"/>
    <w:rsid w:val="00DD55E0"/>
    <w:rsid w:val="00DD6C0A"/>
    <w:rsid w:val="00DE023E"/>
    <w:rsid w:val="00DE0A9F"/>
    <w:rsid w:val="00DE18A3"/>
    <w:rsid w:val="00DE1904"/>
    <w:rsid w:val="00DE1DAA"/>
    <w:rsid w:val="00DE243C"/>
    <w:rsid w:val="00DE2549"/>
    <w:rsid w:val="00DE2B39"/>
    <w:rsid w:val="00DE2E0D"/>
    <w:rsid w:val="00DE2F10"/>
    <w:rsid w:val="00DE3DBB"/>
    <w:rsid w:val="00DE43A2"/>
    <w:rsid w:val="00DE4A74"/>
    <w:rsid w:val="00DE4B05"/>
    <w:rsid w:val="00DE4EE9"/>
    <w:rsid w:val="00DE541C"/>
    <w:rsid w:val="00DE5647"/>
    <w:rsid w:val="00DE5B1C"/>
    <w:rsid w:val="00DE662E"/>
    <w:rsid w:val="00DE737B"/>
    <w:rsid w:val="00DE784D"/>
    <w:rsid w:val="00DF0036"/>
    <w:rsid w:val="00DF100B"/>
    <w:rsid w:val="00DF11B7"/>
    <w:rsid w:val="00DF3044"/>
    <w:rsid w:val="00DF4159"/>
    <w:rsid w:val="00DF4359"/>
    <w:rsid w:val="00DF4BDD"/>
    <w:rsid w:val="00DF51CC"/>
    <w:rsid w:val="00DF53ED"/>
    <w:rsid w:val="00DF5621"/>
    <w:rsid w:val="00DF73C1"/>
    <w:rsid w:val="00DF7511"/>
    <w:rsid w:val="00DF7751"/>
    <w:rsid w:val="00E00788"/>
    <w:rsid w:val="00E008FE"/>
    <w:rsid w:val="00E009B1"/>
    <w:rsid w:val="00E00B0A"/>
    <w:rsid w:val="00E00BC3"/>
    <w:rsid w:val="00E00CA9"/>
    <w:rsid w:val="00E00F65"/>
    <w:rsid w:val="00E011D7"/>
    <w:rsid w:val="00E01F30"/>
    <w:rsid w:val="00E0243C"/>
    <w:rsid w:val="00E0250F"/>
    <w:rsid w:val="00E03173"/>
    <w:rsid w:val="00E031BB"/>
    <w:rsid w:val="00E0417B"/>
    <w:rsid w:val="00E0576C"/>
    <w:rsid w:val="00E06395"/>
    <w:rsid w:val="00E068BC"/>
    <w:rsid w:val="00E073F0"/>
    <w:rsid w:val="00E07DB9"/>
    <w:rsid w:val="00E10761"/>
    <w:rsid w:val="00E11D7A"/>
    <w:rsid w:val="00E11EEB"/>
    <w:rsid w:val="00E128F2"/>
    <w:rsid w:val="00E12BCC"/>
    <w:rsid w:val="00E12CCF"/>
    <w:rsid w:val="00E13E5A"/>
    <w:rsid w:val="00E13EE4"/>
    <w:rsid w:val="00E14621"/>
    <w:rsid w:val="00E148EC"/>
    <w:rsid w:val="00E14BE9"/>
    <w:rsid w:val="00E14D79"/>
    <w:rsid w:val="00E14D83"/>
    <w:rsid w:val="00E15018"/>
    <w:rsid w:val="00E156BF"/>
    <w:rsid w:val="00E15ED4"/>
    <w:rsid w:val="00E161F1"/>
    <w:rsid w:val="00E16463"/>
    <w:rsid w:val="00E16F82"/>
    <w:rsid w:val="00E172BB"/>
    <w:rsid w:val="00E177E9"/>
    <w:rsid w:val="00E17F6F"/>
    <w:rsid w:val="00E20405"/>
    <w:rsid w:val="00E20B20"/>
    <w:rsid w:val="00E20F41"/>
    <w:rsid w:val="00E239D1"/>
    <w:rsid w:val="00E240A1"/>
    <w:rsid w:val="00E245A9"/>
    <w:rsid w:val="00E246B9"/>
    <w:rsid w:val="00E2509F"/>
    <w:rsid w:val="00E250C5"/>
    <w:rsid w:val="00E25548"/>
    <w:rsid w:val="00E262B1"/>
    <w:rsid w:val="00E26727"/>
    <w:rsid w:val="00E26970"/>
    <w:rsid w:val="00E2728F"/>
    <w:rsid w:val="00E2778E"/>
    <w:rsid w:val="00E27791"/>
    <w:rsid w:val="00E27C9E"/>
    <w:rsid w:val="00E302A7"/>
    <w:rsid w:val="00E30F2D"/>
    <w:rsid w:val="00E311BF"/>
    <w:rsid w:val="00E31442"/>
    <w:rsid w:val="00E319DB"/>
    <w:rsid w:val="00E31AFC"/>
    <w:rsid w:val="00E3250F"/>
    <w:rsid w:val="00E3386B"/>
    <w:rsid w:val="00E33AEA"/>
    <w:rsid w:val="00E33C24"/>
    <w:rsid w:val="00E3409E"/>
    <w:rsid w:val="00E34F76"/>
    <w:rsid w:val="00E352C6"/>
    <w:rsid w:val="00E3760F"/>
    <w:rsid w:val="00E37BE5"/>
    <w:rsid w:val="00E41151"/>
    <w:rsid w:val="00E41A27"/>
    <w:rsid w:val="00E41AB4"/>
    <w:rsid w:val="00E423B8"/>
    <w:rsid w:val="00E42737"/>
    <w:rsid w:val="00E42DD8"/>
    <w:rsid w:val="00E44906"/>
    <w:rsid w:val="00E453F8"/>
    <w:rsid w:val="00E45C77"/>
    <w:rsid w:val="00E4608B"/>
    <w:rsid w:val="00E46D7F"/>
    <w:rsid w:val="00E47724"/>
    <w:rsid w:val="00E4776B"/>
    <w:rsid w:val="00E47885"/>
    <w:rsid w:val="00E501D3"/>
    <w:rsid w:val="00E502C6"/>
    <w:rsid w:val="00E50C28"/>
    <w:rsid w:val="00E50F2C"/>
    <w:rsid w:val="00E51BB7"/>
    <w:rsid w:val="00E5223B"/>
    <w:rsid w:val="00E53A01"/>
    <w:rsid w:val="00E558D1"/>
    <w:rsid w:val="00E5640A"/>
    <w:rsid w:val="00E564C4"/>
    <w:rsid w:val="00E567C9"/>
    <w:rsid w:val="00E57612"/>
    <w:rsid w:val="00E57E1A"/>
    <w:rsid w:val="00E57F91"/>
    <w:rsid w:val="00E604C4"/>
    <w:rsid w:val="00E60809"/>
    <w:rsid w:val="00E61300"/>
    <w:rsid w:val="00E618EB"/>
    <w:rsid w:val="00E61AE8"/>
    <w:rsid w:val="00E62898"/>
    <w:rsid w:val="00E62CA3"/>
    <w:rsid w:val="00E62EBC"/>
    <w:rsid w:val="00E635B9"/>
    <w:rsid w:val="00E635CC"/>
    <w:rsid w:val="00E63C63"/>
    <w:rsid w:val="00E6449F"/>
    <w:rsid w:val="00E65683"/>
    <w:rsid w:val="00E65D15"/>
    <w:rsid w:val="00E66031"/>
    <w:rsid w:val="00E660D0"/>
    <w:rsid w:val="00E669F7"/>
    <w:rsid w:val="00E66C32"/>
    <w:rsid w:val="00E66CD8"/>
    <w:rsid w:val="00E67627"/>
    <w:rsid w:val="00E67802"/>
    <w:rsid w:val="00E67EE5"/>
    <w:rsid w:val="00E7013A"/>
    <w:rsid w:val="00E72C6B"/>
    <w:rsid w:val="00E73AB7"/>
    <w:rsid w:val="00E73E6C"/>
    <w:rsid w:val="00E74F5D"/>
    <w:rsid w:val="00E75511"/>
    <w:rsid w:val="00E7587E"/>
    <w:rsid w:val="00E75BFF"/>
    <w:rsid w:val="00E76034"/>
    <w:rsid w:val="00E77F6A"/>
    <w:rsid w:val="00E80440"/>
    <w:rsid w:val="00E817E0"/>
    <w:rsid w:val="00E82754"/>
    <w:rsid w:val="00E82CA9"/>
    <w:rsid w:val="00E82EE4"/>
    <w:rsid w:val="00E831E7"/>
    <w:rsid w:val="00E843B5"/>
    <w:rsid w:val="00E84A3B"/>
    <w:rsid w:val="00E85307"/>
    <w:rsid w:val="00E85B0A"/>
    <w:rsid w:val="00E87742"/>
    <w:rsid w:val="00E9036F"/>
    <w:rsid w:val="00E907E4"/>
    <w:rsid w:val="00E90A24"/>
    <w:rsid w:val="00E90C34"/>
    <w:rsid w:val="00E91092"/>
    <w:rsid w:val="00E919AC"/>
    <w:rsid w:val="00E91F68"/>
    <w:rsid w:val="00E9321C"/>
    <w:rsid w:val="00E93499"/>
    <w:rsid w:val="00E939E8"/>
    <w:rsid w:val="00E93CB3"/>
    <w:rsid w:val="00E946A6"/>
    <w:rsid w:val="00E946B5"/>
    <w:rsid w:val="00E947E4"/>
    <w:rsid w:val="00E9480A"/>
    <w:rsid w:val="00E94B3A"/>
    <w:rsid w:val="00E955E5"/>
    <w:rsid w:val="00E955F2"/>
    <w:rsid w:val="00E96058"/>
    <w:rsid w:val="00E9616B"/>
    <w:rsid w:val="00E96A29"/>
    <w:rsid w:val="00E96B28"/>
    <w:rsid w:val="00E96FE6"/>
    <w:rsid w:val="00E973A1"/>
    <w:rsid w:val="00EA0397"/>
    <w:rsid w:val="00EA07BD"/>
    <w:rsid w:val="00EA0F54"/>
    <w:rsid w:val="00EA1059"/>
    <w:rsid w:val="00EA1312"/>
    <w:rsid w:val="00EA1D43"/>
    <w:rsid w:val="00EA2318"/>
    <w:rsid w:val="00EA37D4"/>
    <w:rsid w:val="00EA4AB1"/>
    <w:rsid w:val="00EA4C04"/>
    <w:rsid w:val="00EA4DCA"/>
    <w:rsid w:val="00EA4EC9"/>
    <w:rsid w:val="00EA5180"/>
    <w:rsid w:val="00EA568E"/>
    <w:rsid w:val="00EA5E0F"/>
    <w:rsid w:val="00EA6FE4"/>
    <w:rsid w:val="00EA798D"/>
    <w:rsid w:val="00EA7F4C"/>
    <w:rsid w:val="00EB09EF"/>
    <w:rsid w:val="00EB1A6D"/>
    <w:rsid w:val="00EB1CF9"/>
    <w:rsid w:val="00EB1D47"/>
    <w:rsid w:val="00EB2146"/>
    <w:rsid w:val="00EB2317"/>
    <w:rsid w:val="00EB26C6"/>
    <w:rsid w:val="00EB279B"/>
    <w:rsid w:val="00EB2821"/>
    <w:rsid w:val="00EB2ABB"/>
    <w:rsid w:val="00EB2B18"/>
    <w:rsid w:val="00EB33D8"/>
    <w:rsid w:val="00EB4F83"/>
    <w:rsid w:val="00EB51DD"/>
    <w:rsid w:val="00EB584C"/>
    <w:rsid w:val="00EB5863"/>
    <w:rsid w:val="00EB5B25"/>
    <w:rsid w:val="00EB5D88"/>
    <w:rsid w:val="00EB6A24"/>
    <w:rsid w:val="00EB6D14"/>
    <w:rsid w:val="00EB7307"/>
    <w:rsid w:val="00EB772D"/>
    <w:rsid w:val="00EC14B0"/>
    <w:rsid w:val="00EC16F9"/>
    <w:rsid w:val="00EC204E"/>
    <w:rsid w:val="00EC238F"/>
    <w:rsid w:val="00EC249E"/>
    <w:rsid w:val="00EC2CFF"/>
    <w:rsid w:val="00EC2DFB"/>
    <w:rsid w:val="00EC2F77"/>
    <w:rsid w:val="00EC329E"/>
    <w:rsid w:val="00EC3418"/>
    <w:rsid w:val="00EC37EE"/>
    <w:rsid w:val="00EC382C"/>
    <w:rsid w:val="00EC4904"/>
    <w:rsid w:val="00EC4DF6"/>
    <w:rsid w:val="00EC5F2F"/>
    <w:rsid w:val="00EC6208"/>
    <w:rsid w:val="00EC651E"/>
    <w:rsid w:val="00EC65E5"/>
    <w:rsid w:val="00EC68C0"/>
    <w:rsid w:val="00EC692E"/>
    <w:rsid w:val="00EC72D7"/>
    <w:rsid w:val="00EC745E"/>
    <w:rsid w:val="00EC7468"/>
    <w:rsid w:val="00EC775C"/>
    <w:rsid w:val="00EC7789"/>
    <w:rsid w:val="00EC7EAF"/>
    <w:rsid w:val="00ED057E"/>
    <w:rsid w:val="00ED0941"/>
    <w:rsid w:val="00ED0D7B"/>
    <w:rsid w:val="00ED11BA"/>
    <w:rsid w:val="00ED130B"/>
    <w:rsid w:val="00ED1327"/>
    <w:rsid w:val="00ED165F"/>
    <w:rsid w:val="00ED2216"/>
    <w:rsid w:val="00ED27C3"/>
    <w:rsid w:val="00ED2AE2"/>
    <w:rsid w:val="00ED2BF9"/>
    <w:rsid w:val="00ED2C5A"/>
    <w:rsid w:val="00ED2CE7"/>
    <w:rsid w:val="00ED2F2E"/>
    <w:rsid w:val="00ED33AE"/>
    <w:rsid w:val="00ED3775"/>
    <w:rsid w:val="00ED3C78"/>
    <w:rsid w:val="00ED3DFD"/>
    <w:rsid w:val="00ED4A6D"/>
    <w:rsid w:val="00ED665D"/>
    <w:rsid w:val="00ED6D4A"/>
    <w:rsid w:val="00ED721A"/>
    <w:rsid w:val="00ED738C"/>
    <w:rsid w:val="00ED7918"/>
    <w:rsid w:val="00ED7BFF"/>
    <w:rsid w:val="00ED7FD3"/>
    <w:rsid w:val="00EE0E5D"/>
    <w:rsid w:val="00EE11C2"/>
    <w:rsid w:val="00EE232F"/>
    <w:rsid w:val="00EE2A61"/>
    <w:rsid w:val="00EE2BDF"/>
    <w:rsid w:val="00EE3205"/>
    <w:rsid w:val="00EE3663"/>
    <w:rsid w:val="00EE36A1"/>
    <w:rsid w:val="00EE3956"/>
    <w:rsid w:val="00EE41C4"/>
    <w:rsid w:val="00EE459F"/>
    <w:rsid w:val="00EE504D"/>
    <w:rsid w:val="00EE51C8"/>
    <w:rsid w:val="00EE5A27"/>
    <w:rsid w:val="00EE63D4"/>
    <w:rsid w:val="00EE6E77"/>
    <w:rsid w:val="00EE76A9"/>
    <w:rsid w:val="00EE799E"/>
    <w:rsid w:val="00EE7CA8"/>
    <w:rsid w:val="00EE7FA7"/>
    <w:rsid w:val="00EF0322"/>
    <w:rsid w:val="00EF070C"/>
    <w:rsid w:val="00EF1093"/>
    <w:rsid w:val="00EF1FCB"/>
    <w:rsid w:val="00EF2014"/>
    <w:rsid w:val="00EF21C3"/>
    <w:rsid w:val="00EF284C"/>
    <w:rsid w:val="00EF2C14"/>
    <w:rsid w:val="00EF2E6B"/>
    <w:rsid w:val="00EF4C8A"/>
    <w:rsid w:val="00EF54D1"/>
    <w:rsid w:val="00EF6743"/>
    <w:rsid w:val="00EF67BB"/>
    <w:rsid w:val="00EF72F9"/>
    <w:rsid w:val="00EF7ACE"/>
    <w:rsid w:val="00EF7DE6"/>
    <w:rsid w:val="00F0021E"/>
    <w:rsid w:val="00F0030E"/>
    <w:rsid w:val="00F00CD1"/>
    <w:rsid w:val="00F01E6B"/>
    <w:rsid w:val="00F0241C"/>
    <w:rsid w:val="00F0263C"/>
    <w:rsid w:val="00F0277A"/>
    <w:rsid w:val="00F028C3"/>
    <w:rsid w:val="00F031EE"/>
    <w:rsid w:val="00F04238"/>
    <w:rsid w:val="00F05759"/>
    <w:rsid w:val="00F05A61"/>
    <w:rsid w:val="00F064EC"/>
    <w:rsid w:val="00F06616"/>
    <w:rsid w:val="00F06CB2"/>
    <w:rsid w:val="00F06D96"/>
    <w:rsid w:val="00F07F39"/>
    <w:rsid w:val="00F07F4A"/>
    <w:rsid w:val="00F10322"/>
    <w:rsid w:val="00F10CB9"/>
    <w:rsid w:val="00F110CD"/>
    <w:rsid w:val="00F110D5"/>
    <w:rsid w:val="00F12351"/>
    <w:rsid w:val="00F12445"/>
    <w:rsid w:val="00F14044"/>
    <w:rsid w:val="00F15193"/>
    <w:rsid w:val="00F16079"/>
    <w:rsid w:val="00F16739"/>
    <w:rsid w:val="00F16DE2"/>
    <w:rsid w:val="00F170DE"/>
    <w:rsid w:val="00F17906"/>
    <w:rsid w:val="00F2040C"/>
    <w:rsid w:val="00F2052B"/>
    <w:rsid w:val="00F20EBF"/>
    <w:rsid w:val="00F21198"/>
    <w:rsid w:val="00F22183"/>
    <w:rsid w:val="00F225E4"/>
    <w:rsid w:val="00F2260F"/>
    <w:rsid w:val="00F242AD"/>
    <w:rsid w:val="00F246F7"/>
    <w:rsid w:val="00F247F2"/>
    <w:rsid w:val="00F2518F"/>
    <w:rsid w:val="00F252A8"/>
    <w:rsid w:val="00F255D9"/>
    <w:rsid w:val="00F265F7"/>
    <w:rsid w:val="00F26E07"/>
    <w:rsid w:val="00F27FA6"/>
    <w:rsid w:val="00F319D5"/>
    <w:rsid w:val="00F33DC8"/>
    <w:rsid w:val="00F34444"/>
    <w:rsid w:val="00F34DB8"/>
    <w:rsid w:val="00F34F1A"/>
    <w:rsid w:val="00F35108"/>
    <w:rsid w:val="00F3592E"/>
    <w:rsid w:val="00F36FF9"/>
    <w:rsid w:val="00F378F1"/>
    <w:rsid w:val="00F403A1"/>
    <w:rsid w:val="00F403DB"/>
    <w:rsid w:val="00F4065A"/>
    <w:rsid w:val="00F40A5E"/>
    <w:rsid w:val="00F40D83"/>
    <w:rsid w:val="00F41392"/>
    <w:rsid w:val="00F4275C"/>
    <w:rsid w:val="00F42825"/>
    <w:rsid w:val="00F42A58"/>
    <w:rsid w:val="00F434B2"/>
    <w:rsid w:val="00F44220"/>
    <w:rsid w:val="00F45693"/>
    <w:rsid w:val="00F459FC"/>
    <w:rsid w:val="00F45B1F"/>
    <w:rsid w:val="00F46380"/>
    <w:rsid w:val="00F46A98"/>
    <w:rsid w:val="00F47145"/>
    <w:rsid w:val="00F50A99"/>
    <w:rsid w:val="00F5221C"/>
    <w:rsid w:val="00F52339"/>
    <w:rsid w:val="00F5277A"/>
    <w:rsid w:val="00F53084"/>
    <w:rsid w:val="00F532E8"/>
    <w:rsid w:val="00F537FF"/>
    <w:rsid w:val="00F54C15"/>
    <w:rsid w:val="00F54E36"/>
    <w:rsid w:val="00F552A3"/>
    <w:rsid w:val="00F560FE"/>
    <w:rsid w:val="00F60CD6"/>
    <w:rsid w:val="00F6111C"/>
    <w:rsid w:val="00F614C0"/>
    <w:rsid w:val="00F61647"/>
    <w:rsid w:val="00F617F5"/>
    <w:rsid w:val="00F63391"/>
    <w:rsid w:val="00F63A11"/>
    <w:rsid w:val="00F63C40"/>
    <w:rsid w:val="00F64279"/>
    <w:rsid w:val="00F64E3E"/>
    <w:rsid w:val="00F657CF"/>
    <w:rsid w:val="00F65808"/>
    <w:rsid w:val="00F6583E"/>
    <w:rsid w:val="00F6587D"/>
    <w:rsid w:val="00F66A00"/>
    <w:rsid w:val="00F66CFB"/>
    <w:rsid w:val="00F70261"/>
    <w:rsid w:val="00F70BAD"/>
    <w:rsid w:val="00F70C73"/>
    <w:rsid w:val="00F713A3"/>
    <w:rsid w:val="00F715BA"/>
    <w:rsid w:val="00F71979"/>
    <w:rsid w:val="00F71A8F"/>
    <w:rsid w:val="00F71F49"/>
    <w:rsid w:val="00F72020"/>
    <w:rsid w:val="00F73ACE"/>
    <w:rsid w:val="00F73B72"/>
    <w:rsid w:val="00F746FB"/>
    <w:rsid w:val="00F75330"/>
    <w:rsid w:val="00F7586A"/>
    <w:rsid w:val="00F75B66"/>
    <w:rsid w:val="00F76BD9"/>
    <w:rsid w:val="00F771FF"/>
    <w:rsid w:val="00F77832"/>
    <w:rsid w:val="00F80318"/>
    <w:rsid w:val="00F803D0"/>
    <w:rsid w:val="00F80703"/>
    <w:rsid w:val="00F80948"/>
    <w:rsid w:val="00F81387"/>
    <w:rsid w:val="00F82134"/>
    <w:rsid w:val="00F822E3"/>
    <w:rsid w:val="00F82866"/>
    <w:rsid w:val="00F82892"/>
    <w:rsid w:val="00F829C3"/>
    <w:rsid w:val="00F834ED"/>
    <w:rsid w:val="00F841FB"/>
    <w:rsid w:val="00F84421"/>
    <w:rsid w:val="00F8449B"/>
    <w:rsid w:val="00F84B44"/>
    <w:rsid w:val="00F85691"/>
    <w:rsid w:val="00F87032"/>
    <w:rsid w:val="00F87094"/>
    <w:rsid w:val="00F87AB3"/>
    <w:rsid w:val="00F913DC"/>
    <w:rsid w:val="00F91919"/>
    <w:rsid w:val="00F91DDA"/>
    <w:rsid w:val="00F920C5"/>
    <w:rsid w:val="00F9397A"/>
    <w:rsid w:val="00F93A37"/>
    <w:rsid w:val="00F94182"/>
    <w:rsid w:val="00F9431F"/>
    <w:rsid w:val="00F944D9"/>
    <w:rsid w:val="00F945FD"/>
    <w:rsid w:val="00F94DB3"/>
    <w:rsid w:val="00F94E6E"/>
    <w:rsid w:val="00F95D26"/>
    <w:rsid w:val="00F96500"/>
    <w:rsid w:val="00F96D38"/>
    <w:rsid w:val="00F97FC0"/>
    <w:rsid w:val="00FA0070"/>
    <w:rsid w:val="00FA11B0"/>
    <w:rsid w:val="00FA1264"/>
    <w:rsid w:val="00FA16BE"/>
    <w:rsid w:val="00FA24AA"/>
    <w:rsid w:val="00FA2C35"/>
    <w:rsid w:val="00FA2D87"/>
    <w:rsid w:val="00FA31E7"/>
    <w:rsid w:val="00FA413A"/>
    <w:rsid w:val="00FA4144"/>
    <w:rsid w:val="00FA4DDF"/>
    <w:rsid w:val="00FA5C71"/>
    <w:rsid w:val="00FA645E"/>
    <w:rsid w:val="00FA6A01"/>
    <w:rsid w:val="00FA6E7F"/>
    <w:rsid w:val="00FA7114"/>
    <w:rsid w:val="00FB052D"/>
    <w:rsid w:val="00FB0831"/>
    <w:rsid w:val="00FB14B7"/>
    <w:rsid w:val="00FB187B"/>
    <w:rsid w:val="00FB22D7"/>
    <w:rsid w:val="00FB2379"/>
    <w:rsid w:val="00FB2EE0"/>
    <w:rsid w:val="00FB35AE"/>
    <w:rsid w:val="00FB3B86"/>
    <w:rsid w:val="00FB3CB7"/>
    <w:rsid w:val="00FB45E2"/>
    <w:rsid w:val="00FB4A84"/>
    <w:rsid w:val="00FB4B8A"/>
    <w:rsid w:val="00FB5152"/>
    <w:rsid w:val="00FB54C3"/>
    <w:rsid w:val="00FB5C02"/>
    <w:rsid w:val="00FB5F8F"/>
    <w:rsid w:val="00FB60C3"/>
    <w:rsid w:val="00FB680E"/>
    <w:rsid w:val="00FB6B73"/>
    <w:rsid w:val="00FB7A0B"/>
    <w:rsid w:val="00FC0065"/>
    <w:rsid w:val="00FC062F"/>
    <w:rsid w:val="00FC0754"/>
    <w:rsid w:val="00FC0882"/>
    <w:rsid w:val="00FC0F15"/>
    <w:rsid w:val="00FC1071"/>
    <w:rsid w:val="00FC149B"/>
    <w:rsid w:val="00FC1C28"/>
    <w:rsid w:val="00FC3961"/>
    <w:rsid w:val="00FC3AEE"/>
    <w:rsid w:val="00FC3C7C"/>
    <w:rsid w:val="00FC3FE3"/>
    <w:rsid w:val="00FC406B"/>
    <w:rsid w:val="00FC50E8"/>
    <w:rsid w:val="00FC560D"/>
    <w:rsid w:val="00FC6238"/>
    <w:rsid w:val="00FC64D5"/>
    <w:rsid w:val="00FC6B71"/>
    <w:rsid w:val="00FC7951"/>
    <w:rsid w:val="00FC7EAE"/>
    <w:rsid w:val="00FD07D0"/>
    <w:rsid w:val="00FD0901"/>
    <w:rsid w:val="00FD0C3D"/>
    <w:rsid w:val="00FD0ECE"/>
    <w:rsid w:val="00FD1CD2"/>
    <w:rsid w:val="00FD236B"/>
    <w:rsid w:val="00FD2785"/>
    <w:rsid w:val="00FD2903"/>
    <w:rsid w:val="00FD2C0C"/>
    <w:rsid w:val="00FD33FC"/>
    <w:rsid w:val="00FD3730"/>
    <w:rsid w:val="00FD3A72"/>
    <w:rsid w:val="00FD3ACF"/>
    <w:rsid w:val="00FD3ADE"/>
    <w:rsid w:val="00FD3B08"/>
    <w:rsid w:val="00FD4647"/>
    <w:rsid w:val="00FD4806"/>
    <w:rsid w:val="00FD4BA4"/>
    <w:rsid w:val="00FD534E"/>
    <w:rsid w:val="00FD56C7"/>
    <w:rsid w:val="00FD5CBB"/>
    <w:rsid w:val="00FD612E"/>
    <w:rsid w:val="00FD636A"/>
    <w:rsid w:val="00FD6564"/>
    <w:rsid w:val="00FD6B74"/>
    <w:rsid w:val="00FD70AE"/>
    <w:rsid w:val="00FE002E"/>
    <w:rsid w:val="00FE0D76"/>
    <w:rsid w:val="00FE100D"/>
    <w:rsid w:val="00FE1622"/>
    <w:rsid w:val="00FE16C0"/>
    <w:rsid w:val="00FE2398"/>
    <w:rsid w:val="00FE2F0A"/>
    <w:rsid w:val="00FE418C"/>
    <w:rsid w:val="00FE4664"/>
    <w:rsid w:val="00FE515A"/>
    <w:rsid w:val="00FE5421"/>
    <w:rsid w:val="00FE5624"/>
    <w:rsid w:val="00FE5D2C"/>
    <w:rsid w:val="00FE5FBF"/>
    <w:rsid w:val="00FE6C25"/>
    <w:rsid w:val="00FE79C2"/>
    <w:rsid w:val="00FE7C62"/>
    <w:rsid w:val="00FF033A"/>
    <w:rsid w:val="00FF0964"/>
    <w:rsid w:val="00FF0BD3"/>
    <w:rsid w:val="00FF0F67"/>
    <w:rsid w:val="00FF10DA"/>
    <w:rsid w:val="00FF16F2"/>
    <w:rsid w:val="00FF1F9B"/>
    <w:rsid w:val="00FF2928"/>
    <w:rsid w:val="00FF2B42"/>
    <w:rsid w:val="00FF2D5B"/>
    <w:rsid w:val="00FF333D"/>
    <w:rsid w:val="00FF386A"/>
    <w:rsid w:val="00FF3B7F"/>
    <w:rsid w:val="00FF3F81"/>
    <w:rsid w:val="00FF476E"/>
    <w:rsid w:val="00FF478B"/>
    <w:rsid w:val="00FF4F92"/>
    <w:rsid w:val="00FF54EB"/>
    <w:rsid w:val="00FF6822"/>
    <w:rsid w:val="00FF7131"/>
    <w:rsid w:val="00FF73D0"/>
    <w:rsid w:val="00FF74B3"/>
    <w:rsid w:val="0220A0FD"/>
    <w:rsid w:val="039A1E8B"/>
    <w:rsid w:val="03A9A333"/>
    <w:rsid w:val="044240EC"/>
    <w:rsid w:val="04990845"/>
    <w:rsid w:val="0A6A6C42"/>
    <w:rsid w:val="0BE42104"/>
    <w:rsid w:val="0DEA3598"/>
    <w:rsid w:val="0F8025F9"/>
    <w:rsid w:val="10E807B4"/>
    <w:rsid w:val="123A7F0A"/>
    <w:rsid w:val="141204DA"/>
    <w:rsid w:val="14401272"/>
    <w:rsid w:val="16512788"/>
    <w:rsid w:val="184CD032"/>
    <w:rsid w:val="1A219784"/>
    <w:rsid w:val="1D7E0A6B"/>
    <w:rsid w:val="1D8A372D"/>
    <w:rsid w:val="1EBE6C48"/>
    <w:rsid w:val="1EE58D75"/>
    <w:rsid w:val="20000366"/>
    <w:rsid w:val="2013E747"/>
    <w:rsid w:val="22C6F7FB"/>
    <w:rsid w:val="237C5D2A"/>
    <w:rsid w:val="2AF1ED85"/>
    <w:rsid w:val="2FF6649E"/>
    <w:rsid w:val="31BEFBFE"/>
    <w:rsid w:val="32975CEE"/>
    <w:rsid w:val="331EA83F"/>
    <w:rsid w:val="3443F6AB"/>
    <w:rsid w:val="35ECE909"/>
    <w:rsid w:val="3E481347"/>
    <w:rsid w:val="3E61DC49"/>
    <w:rsid w:val="3FA999AD"/>
    <w:rsid w:val="40C321E7"/>
    <w:rsid w:val="4654A497"/>
    <w:rsid w:val="4818BA13"/>
    <w:rsid w:val="4C22F4AD"/>
    <w:rsid w:val="4D48E60F"/>
    <w:rsid w:val="52C62AEA"/>
    <w:rsid w:val="5522A324"/>
    <w:rsid w:val="55EC0145"/>
    <w:rsid w:val="56609A16"/>
    <w:rsid w:val="5B78E194"/>
    <w:rsid w:val="5DC0460F"/>
    <w:rsid w:val="5DEC0CD7"/>
    <w:rsid w:val="600D0087"/>
    <w:rsid w:val="69050D9A"/>
    <w:rsid w:val="6BB8485A"/>
    <w:rsid w:val="6C319D9E"/>
    <w:rsid w:val="736E20FA"/>
    <w:rsid w:val="73BA0168"/>
    <w:rsid w:val="74FA22B2"/>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30E0293E"/>
  <w15:docId w15:val="{81FAB427-2787-4418-A79C-3A5B2182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ind w:left="862" w:hanging="862"/>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6"/>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7"/>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8"/>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9"/>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10"/>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1"/>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2"/>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3"/>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4"/>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4"/>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4"/>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4"/>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5"/>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6"/>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7"/>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8"/>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qFormat/>
    <w:rsid w:val="00456DC2"/>
    <w:pPr>
      <w:numPr>
        <w:numId w:val="19"/>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20"/>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2"/>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3"/>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4"/>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5"/>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6"/>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456DC2"/>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456DC2"/>
  </w:style>
  <w:style w:type="numbering" w:customStyle="1" w:styleId="110">
    <w:name w:val="无列表11"/>
    <w:next w:val="NoList"/>
    <w:uiPriority w:val="99"/>
    <w:semiHidden/>
    <w:unhideWhenUsed/>
    <w:rsid w:val="00456DC2"/>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5AIRPNAIUNRU-1379959237-2171</_dlc_DocId>
    <_dlc_DocIdUrl xmlns="71c5aaf6-e6ce-465b-b873-5148d2a4c105">
      <Url>https://nokia.sharepoint.com/sites/c5g/projects/phydesign/_layouts/15/DocIdRedir.aspx?ID=5AIRPNAIUNRU-1379959237-2171</Url>
      <Description>5AIRPNAIUNRU-1379959237-2171</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6" ma:contentTypeDescription="Create a new document." ma:contentTypeScope="" ma:versionID="91dca05ec532fbf1488685cb5565c7d6">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71be5ed7a31e8194549c2dc45d91051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d499e888-b648-4639-a12e-124bf1d657b9"/>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11833A8-9682-4748-8903-D576CB568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21734</TotalTime>
  <Pages>9</Pages>
  <Words>4481</Words>
  <Characters>23748</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765</cp:revision>
  <cp:lastPrinted>2016-06-20T11:35:00Z</cp:lastPrinted>
  <dcterms:created xsi:type="dcterms:W3CDTF">2021-07-26T16:12:00Z</dcterms:created>
  <dcterms:modified xsi:type="dcterms:W3CDTF">2022-08-12T10:54:00Z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9447bade-8f8f-4ed7-b608-41f1c0823fdd</vt:lpwstr>
  </property>
</Properties>
</file>